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575B" w14:textId="681C4433" w:rsidR="004108F6" w:rsidRPr="003F5D69" w:rsidRDefault="004108F6" w:rsidP="007A7979">
      <w:pPr>
        <w:spacing w:line="240" w:lineRule="auto"/>
        <w:jc w:val="center"/>
        <w:rPr>
          <w:rFonts w:cs="Arial"/>
          <w:b/>
          <w:noProof/>
          <w:sz w:val="28"/>
          <w:szCs w:val="28"/>
        </w:rPr>
      </w:pPr>
      <w:r>
        <w:rPr>
          <w:noProof/>
        </w:rPr>
        <w:drawing>
          <wp:inline distT="0" distB="0" distL="0" distR="0" wp14:anchorId="1584D24E" wp14:editId="2384B502">
            <wp:extent cx="4591050" cy="293317"/>
            <wp:effectExtent l="0" t="0" r="0" b="0"/>
            <wp:docPr id="5436688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68878" name="Picture 543668878"/>
                    <pic:cNvPicPr/>
                  </pic:nvPicPr>
                  <pic:blipFill>
                    <a:blip r:embed="rId4">
                      <a:extLst>
                        <a:ext uri="{28A0092B-C50C-407E-A947-70E740481C1C}">
                          <a14:useLocalDpi xmlns:a14="http://schemas.microsoft.com/office/drawing/2010/main"/>
                        </a:ext>
                      </a:extLst>
                    </a:blip>
                    <a:stretch>
                      <a:fillRect/>
                    </a:stretch>
                  </pic:blipFill>
                  <pic:spPr>
                    <a:xfrm>
                      <a:off x="0" y="0"/>
                      <a:ext cx="4591050" cy="293317"/>
                    </a:xfrm>
                    <a:prstGeom prst="rect">
                      <a:avLst/>
                    </a:prstGeom>
                  </pic:spPr>
                </pic:pic>
              </a:graphicData>
            </a:graphic>
          </wp:inline>
        </w:drawing>
      </w:r>
      <w:r w:rsidRPr="003F5D69">
        <w:rPr>
          <w:rFonts w:cs="Arial"/>
        </w:rPr>
        <w:br/>
      </w:r>
      <w:r w:rsidRPr="003F5D69">
        <w:rPr>
          <w:rFonts w:cs="Arial"/>
          <w:b/>
          <w:color w:val="31849B" w:themeColor="accent5" w:themeShade="BF"/>
          <w:sz w:val="28"/>
          <w:szCs w:val="28"/>
        </w:rPr>
        <w:br/>
      </w:r>
      <w:r w:rsidRPr="00AF73AC">
        <w:rPr>
          <w:rFonts w:cs="Arial"/>
          <w:b/>
          <w:bCs/>
          <w:sz w:val="24"/>
          <w:szCs w:val="24"/>
        </w:rPr>
        <w:t>3</w:t>
      </w:r>
      <w:r w:rsidRPr="00AF73AC">
        <w:rPr>
          <w:rFonts w:cs="Arial"/>
          <w:b/>
          <w:bCs/>
          <w:sz w:val="24"/>
          <w:szCs w:val="24"/>
          <w:vertAlign w:val="superscript"/>
        </w:rPr>
        <w:t>rd</w:t>
      </w:r>
      <w:r w:rsidR="00AF73AC" w:rsidRPr="00AF73AC">
        <w:rPr>
          <w:rFonts w:cs="Arial"/>
          <w:b/>
          <w:bCs/>
          <w:sz w:val="24"/>
          <w:szCs w:val="24"/>
        </w:rPr>
        <w:t xml:space="preserve"> </w:t>
      </w:r>
      <w:r w:rsidRPr="00AF73AC">
        <w:rPr>
          <w:rFonts w:cs="Arial"/>
          <w:b/>
          <w:bCs/>
          <w:sz w:val="24"/>
          <w:szCs w:val="24"/>
        </w:rPr>
        <w:t xml:space="preserve">Annual Michigan Liver Cancer Consortium </w:t>
      </w:r>
      <w:r w:rsidRPr="00AF73AC">
        <w:rPr>
          <w:rFonts w:cs="Arial"/>
          <w:b/>
          <w:noProof/>
          <w:sz w:val="24"/>
          <w:szCs w:val="24"/>
        </w:rPr>
        <w:t xml:space="preserve">| </w:t>
      </w:r>
      <w:r w:rsidRPr="00AF73AC">
        <w:rPr>
          <w:rFonts w:cs="Arial"/>
          <w:b/>
          <w:noProof/>
          <w:sz w:val="24"/>
          <w:szCs w:val="24"/>
        </w:rPr>
        <w:t>4/22/</w:t>
      </w:r>
      <w:r w:rsidRPr="00AF73AC">
        <w:rPr>
          <w:rFonts w:cs="Arial"/>
          <w:b/>
          <w:noProof/>
          <w:sz w:val="24"/>
          <w:szCs w:val="24"/>
        </w:rPr>
        <w:t>26 5:30</w:t>
      </w:r>
      <w:r w:rsidRPr="00AF73AC">
        <w:rPr>
          <w:rFonts w:cs="Arial"/>
          <w:b/>
          <w:noProof/>
          <w:sz w:val="24"/>
          <w:szCs w:val="24"/>
        </w:rPr>
        <w:t>PM</w:t>
      </w:r>
      <w:r w:rsidRPr="00AF73AC">
        <w:rPr>
          <w:rFonts w:cs="Arial"/>
          <w:b/>
          <w:noProof/>
          <w:sz w:val="24"/>
          <w:szCs w:val="24"/>
        </w:rPr>
        <w:t xml:space="preserve"> </w:t>
      </w:r>
      <w:r w:rsidRPr="00AF73AC">
        <w:rPr>
          <w:rFonts w:cs="Arial"/>
          <w:b/>
          <w:noProof/>
          <w:sz w:val="24"/>
          <w:szCs w:val="24"/>
        </w:rPr>
        <w:t>Townsend Hotel (Birmingham)</w:t>
      </w:r>
    </w:p>
    <w:p w14:paraId="680C26E2" w14:textId="77777777" w:rsidR="004108F6" w:rsidRPr="00AF73AC" w:rsidRDefault="004108F6" w:rsidP="006A623D">
      <w:pPr>
        <w:spacing w:line="240" w:lineRule="auto"/>
        <w:rPr>
          <w:rFonts w:cs="Arial"/>
          <w:sz w:val="16"/>
          <w:szCs w:val="16"/>
        </w:rPr>
      </w:pPr>
      <w:r w:rsidRPr="00AF73AC">
        <w:rPr>
          <w:sz w:val="16"/>
          <w:szCs w:val="16"/>
        </w:rPr>
        <w:t xml:space="preserve">An interactive program to learn key updates in the evaluation and management of liver cancer and engage in active case discussions with local </w:t>
      </w:r>
      <w:r w:rsidRPr="00AF73AC">
        <w:rPr>
          <w:sz w:val="16"/>
          <w:szCs w:val="16"/>
        </w:rPr>
        <w:t>experts in the field. This is a multi-disciplinary program for physicians, APPs, nursing, and learners of all levels. Experts in Hepatobiliary Surgery, Medical Oncology, Hepatology, Interventional Radiology, Diagnostic Radiology, and Radiation Oncology from around the state will interact to discuss current up-to-date management strategies and challenges that clinicians face in the care of patients with liver cancer.</w:t>
      </w:r>
    </w:p>
    <w:p w14:paraId="353C8A70" w14:textId="6A18383F" w:rsidR="004108F6" w:rsidRPr="00AF73AC" w:rsidRDefault="004108F6" w:rsidP="006A623D">
      <w:pPr>
        <w:spacing w:line="240" w:lineRule="auto"/>
        <w:rPr>
          <w:rFonts w:cs="Arial"/>
          <w:b/>
          <w:sz w:val="20"/>
          <w:szCs w:val="20"/>
        </w:rPr>
      </w:pPr>
      <w:r w:rsidRPr="00AF73AC">
        <w:rPr>
          <w:rFonts w:cs="Arial"/>
          <w:b/>
          <w:sz w:val="20"/>
          <w:szCs w:val="20"/>
        </w:rPr>
        <w:t>Program Goal</w:t>
      </w:r>
      <w:r w:rsidR="00AF73AC" w:rsidRPr="00AF73AC">
        <w:rPr>
          <w:rFonts w:cs="Arial"/>
          <w:b/>
          <w:sz w:val="20"/>
          <w:szCs w:val="20"/>
        </w:rPr>
        <w:t>s</w:t>
      </w:r>
    </w:p>
    <w:p w14:paraId="5DE68007" w14:textId="136AB451" w:rsidR="006D079F" w:rsidRPr="00AF73AC" w:rsidRDefault="004108F6" w:rsidP="006A623D">
      <w:pPr>
        <w:spacing w:line="240" w:lineRule="auto"/>
        <w:rPr>
          <w:rFonts w:cs="Arial"/>
          <w:color w:val="000000" w:themeColor="text1"/>
          <w:sz w:val="16"/>
          <w:szCs w:val="16"/>
        </w:rPr>
      </w:pPr>
      <w:r w:rsidRPr="00AF73AC">
        <w:rPr>
          <w:rFonts w:cs="Arial"/>
          <w:sz w:val="16"/>
          <w:szCs w:val="16"/>
        </w:rPr>
        <w:t xml:space="preserve">1 Understand </w:t>
      </w:r>
      <w:r w:rsidR="005A1F77">
        <w:rPr>
          <w:rFonts w:cs="Arial"/>
          <w:sz w:val="16"/>
          <w:szCs w:val="16"/>
        </w:rPr>
        <w:t xml:space="preserve">the </w:t>
      </w:r>
      <w:r w:rsidRPr="00AF73AC">
        <w:rPr>
          <w:rFonts w:cs="Arial"/>
          <w:sz w:val="16"/>
          <w:szCs w:val="16"/>
        </w:rPr>
        <w:t xml:space="preserve">latest data </w:t>
      </w:r>
      <w:r w:rsidR="005A1F77">
        <w:rPr>
          <w:rFonts w:cs="Arial"/>
          <w:sz w:val="16"/>
          <w:szCs w:val="16"/>
        </w:rPr>
        <w:t>&amp;</w:t>
      </w:r>
      <w:r w:rsidRPr="00AF73AC">
        <w:rPr>
          <w:rFonts w:cs="Arial"/>
          <w:sz w:val="16"/>
          <w:szCs w:val="16"/>
        </w:rPr>
        <w:t xml:space="preserve"> approved therapies for systemic therapy in hepatocellular carcinoma management. </w:t>
      </w:r>
      <w:r w:rsidRPr="00AF73AC">
        <w:rPr>
          <w:rFonts w:cs="Arial"/>
          <w:sz w:val="16"/>
          <w:szCs w:val="16"/>
        </w:rPr>
        <w:t xml:space="preserve">2 Learn about locoregional therapies for treatment of liver cancer, </w:t>
      </w:r>
      <w:r w:rsidR="005A1F77">
        <w:rPr>
          <w:rFonts w:cs="Arial"/>
          <w:sz w:val="16"/>
          <w:szCs w:val="16"/>
        </w:rPr>
        <w:t>&amp;</w:t>
      </w:r>
      <w:r w:rsidRPr="00AF73AC">
        <w:rPr>
          <w:rFonts w:cs="Arial"/>
          <w:sz w:val="16"/>
          <w:szCs w:val="16"/>
        </w:rPr>
        <w:t xml:space="preserve"> strategies to choose specific therapies. </w:t>
      </w:r>
      <w:r w:rsidRPr="00AF73AC">
        <w:rPr>
          <w:rFonts w:cs="Arial"/>
          <w:sz w:val="16"/>
          <w:szCs w:val="16"/>
        </w:rPr>
        <w:t>3 Discuss when to consider combination therapy utilizing liver-directed treatment a</w:t>
      </w:r>
      <w:r w:rsidR="005A1F77">
        <w:rPr>
          <w:rFonts w:cs="Arial"/>
          <w:sz w:val="16"/>
          <w:szCs w:val="16"/>
        </w:rPr>
        <w:t xml:space="preserve">nd </w:t>
      </w:r>
      <w:r w:rsidRPr="00AF73AC">
        <w:rPr>
          <w:rFonts w:cs="Arial"/>
          <w:sz w:val="16"/>
          <w:szCs w:val="16"/>
        </w:rPr>
        <w:t>systemic therapy for improved outcomes.</w:t>
      </w:r>
      <w:r w:rsidRPr="00AF73AC">
        <w:rPr>
          <w:rFonts w:cs="Arial"/>
          <w:sz w:val="16"/>
          <w:szCs w:val="16"/>
        </w:rPr>
        <w:t xml:space="preserve">4 Collaborate with colleagues at other local institutions </w:t>
      </w:r>
      <w:r w:rsidR="005A1F77">
        <w:rPr>
          <w:rFonts w:cs="Arial"/>
          <w:sz w:val="16"/>
          <w:szCs w:val="16"/>
        </w:rPr>
        <w:t>&amp;</w:t>
      </w:r>
      <w:r w:rsidRPr="00AF73AC">
        <w:rPr>
          <w:rFonts w:cs="Arial"/>
          <w:sz w:val="16"/>
          <w:szCs w:val="16"/>
        </w:rPr>
        <w:t xml:space="preserve"> learn about available options for treatment of liver cancer </w:t>
      </w:r>
      <w:r w:rsidR="005A1F77">
        <w:rPr>
          <w:rFonts w:cs="Arial"/>
          <w:sz w:val="16"/>
          <w:szCs w:val="16"/>
        </w:rPr>
        <w:t>&amp;</w:t>
      </w:r>
      <w:r w:rsidRPr="00AF73AC">
        <w:rPr>
          <w:rFonts w:cs="Arial"/>
          <w:sz w:val="16"/>
          <w:szCs w:val="16"/>
        </w:rPr>
        <w:t xml:space="preserve"> clinical trial options for patients. </w:t>
      </w:r>
      <w:r w:rsidRPr="00AF73AC">
        <w:rPr>
          <w:rFonts w:cs="Arial"/>
          <w:sz w:val="16"/>
          <w:szCs w:val="16"/>
        </w:rPr>
        <w:t xml:space="preserve">5 Review the patient best suited for surgical resection </w:t>
      </w:r>
      <w:r w:rsidR="005A1F77">
        <w:rPr>
          <w:rFonts w:cs="Arial"/>
          <w:sz w:val="16"/>
          <w:szCs w:val="16"/>
        </w:rPr>
        <w:t>&amp;</w:t>
      </w:r>
      <w:r w:rsidRPr="00AF73AC">
        <w:rPr>
          <w:rFonts w:cs="Arial"/>
          <w:sz w:val="16"/>
          <w:szCs w:val="16"/>
        </w:rPr>
        <w:t xml:space="preserve">/or liver transplant for liver cancer. </w:t>
      </w:r>
      <w:r w:rsidRPr="00AF73AC">
        <w:rPr>
          <w:rFonts w:cs="Arial"/>
          <w:sz w:val="16"/>
          <w:szCs w:val="16"/>
        </w:rPr>
        <w:t xml:space="preserve">6 Discuss current approaches to using radiation therapy for patients with hepatocellular carcinoma. </w:t>
      </w:r>
      <w:r w:rsidRPr="00AF73AC">
        <w:rPr>
          <w:rFonts w:cs="Arial"/>
          <w:sz w:val="16"/>
          <w:szCs w:val="16"/>
        </w:rPr>
        <w:t xml:space="preserve">7 Discuss </w:t>
      </w:r>
      <w:r w:rsidRPr="00AF73AC">
        <w:rPr>
          <w:rFonts w:cs="Arial"/>
          <w:sz w:val="16"/>
          <w:szCs w:val="16"/>
        </w:rPr>
        <w:t xml:space="preserve">updated data on neoadjuvant </w:t>
      </w:r>
      <w:r w:rsidR="005A1F77">
        <w:rPr>
          <w:rFonts w:cs="Arial"/>
          <w:sz w:val="16"/>
          <w:szCs w:val="16"/>
        </w:rPr>
        <w:t>&amp;</w:t>
      </w:r>
      <w:r w:rsidRPr="00AF73AC">
        <w:rPr>
          <w:rFonts w:cs="Arial"/>
          <w:sz w:val="16"/>
          <w:szCs w:val="16"/>
        </w:rPr>
        <w:t xml:space="preserve"> adjuvant therapy for hepatocellular carcinoma.</w:t>
      </w:r>
      <w:r w:rsidR="00AF73AC" w:rsidRPr="00AF73AC">
        <w:rPr>
          <w:rFonts w:cs="Arial"/>
          <w:sz w:val="16"/>
          <w:szCs w:val="16"/>
        </w:rPr>
        <w:t xml:space="preserve"> </w:t>
      </w:r>
      <w:r w:rsidRPr="00AF73AC">
        <w:rPr>
          <w:rFonts w:cs="Arial"/>
          <w:sz w:val="16"/>
          <w:szCs w:val="16"/>
        </w:rPr>
        <w:t xml:space="preserve">8 Understand </w:t>
      </w:r>
      <w:r w:rsidRPr="00AF73AC">
        <w:rPr>
          <w:rFonts w:cs="Arial"/>
          <w:sz w:val="16"/>
          <w:szCs w:val="16"/>
        </w:rPr>
        <w:t xml:space="preserve">current management of colorectal cancer liver metastasis. </w:t>
      </w:r>
      <w:r w:rsidRPr="00AF73AC">
        <w:rPr>
          <w:rFonts w:cs="Arial"/>
          <w:sz w:val="16"/>
          <w:szCs w:val="16"/>
        </w:rPr>
        <w:t xml:space="preserve">9 Discuss </w:t>
      </w:r>
      <w:r w:rsidRPr="00AF73AC">
        <w:rPr>
          <w:rFonts w:cs="Arial"/>
          <w:sz w:val="16"/>
          <w:szCs w:val="16"/>
        </w:rPr>
        <w:t>latest experience in Histotripsy over the last year.</w:t>
      </w:r>
    </w:p>
    <w:p w14:paraId="6ECA86F9" w14:textId="77777777" w:rsidR="004108F6" w:rsidRPr="003F5D69" w:rsidRDefault="004108F6" w:rsidP="00CC477A">
      <w:pPr>
        <w:spacing w:line="240" w:lineRule="auto"/>
        <w:rPr>
          <w:rFonts w:cs="Arial"/>
          <w:b/>
          <w:sz w:val="24"/>
          <w:szCs w:val="24"/>
        </w:rPr>
      </w:pPr>
      <w:r w:rsidRPr="00AF73AC">
        <w:rPr>
          <w:rFonts w:cs="Arial"/>
          <w:b/>
          <w:sz w:val="20"/>
          <w:szCs w:val="20"/>
        </w:rPr>
        <w:t>Target Audience</w:t>
      </w:r>
      <w:r w:rsidRPr="003F5D69">
        <w:rPr>
          <w:rFonts w:cs="Arial"/>
          <w:b/>
          <w:sz w:val="24"/>
          <w:szCs w:val="24"/>
        </w:rPr>
        <w:t xml:space="preserve"> </w:t>
      </w:r>
      <w:r w:rsidRPr="00AF73AC">
        <w:rPr>
          <w:rFonts w:cs="Arial"/>
          <w:sz w:val="20"/>
          <w:szCs w:val="20"/>
        </w:rPr>
        <w:t>Surgery, Gastroenterology, Hematology Oncology, Hepatology</w:t>
      </w:r>
    </w:p>
    <w:p w14:paraId="6AA8F704" w14:textId="77777777" w:rsidR="004108F6" w:rsidRPr="00AF73AC" w:rsidRDefault="004108F6" w:rsidP="00CC477A">
      <w:pPr>
        <w:spacing w:line="240" w:lineRule="auto"/>
        <w:rPr>
          <w:rFonts w:cs="Arial"/>
          <w:b/>
          <w:bCs/>
          <w:noProof/>
          <w:sz w:val="20"/>
          <w:szCs w:val="20"/>
        </w:rPr>
      </w:pPr>
      <w:r w:rsidRPr="00AF73AC">
        <w:rPr>
          <w:rFonts w:cs="Arial"/>
          <w:b/>
          <w:bCs/>
          <w:noProof/>
          <w:sz w:val="20"/>
          <w:szCs w:val="20"/>
        </w:rPr>
        <w:t>Faculty</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44"/>
        <w:gridCol w:w="2869"/>
        <w:gridCol w:w="4671"/>
      </w:tblGrid>
      <w:tr w:rsidR="006D079F" w:rsidRPr="00AF73AC" w14:paraId="1398B63D" w14:textId="77777777" w:rsidTr="00AF73AC">
        <w:trPr>
          <w:tblCellSpacing w:w="15" w:type="dxa"/>
        </w:trPr>
        <w:tc>
          <w:tcPr>
            <w:tcW w:w="1483" w:type="pct"/>
            <w:tcBorders>
              <w:top w:val="outset" w:sz="6" w:space="0" w:color="auto"/>
              <w:left w:val="outset" w:sz="6" w:space="0" w:color="auto"/>
              <w:bottom w:val="outset" w:sz="6" w:space="0" w:color="auto"/>
              <w:right w:val="outset" w:sz="6" w:space="0" w:color="auto"/>
            </w:tcBorders>
            <w:shd w:val="clear" w:color="auto" w:fill="F5F5F5"/>
            <w:vAlign w:val="center"/>
          </w:tcPr>
          <w:p w14:paraId="6F193854" w14:textId="77777777" w:rsidR="006D079F" w:rsidRPr="00AF73AC" w:rsidRDefault="004108F6">
            <w:pPr>
              <w:spacing w:after="0"/>
              <w:jc w:val="center"/>
              <w:rPr>
                <w:sz w:val="18"/>
                <w:szCs w:val="18"/>
              </w:rPr>
            </w:pPr>
            <w:r w:rsidRPr="00AF73AC">
              <w:rPr>
                <w:b/>
                <w:sz w:val="18"/>
                <w:szCs w:val="18"/>
              </w:rPr>
              <w:t>Name of individual</w:t>
            </w:r>
          </w:p>
        </w:tc>
        <w:tc>
          <w:tcPr>
            <w:tcW w:w="1316" w:type="pct"/>
            <w:tcBorders>
              <w:top w:val="outset" w:sz="6" w:space="0" w:color="auto"/>
              <w:left w:val="outset" w:sz="6" w:space="0" w:color="auto"/>
              <w:bottom w:val="outset" w:sz="6" w:space="0" w:color="auto"/>
              <w:right w:val="outset" w:sz="6" w:space="0" w:color="auto"/>
            </w:tcBorders>
            <w:shd w:val="clear" w:color="auto" w:fill="F5F5F5"/>
            <w:vAlign w:val="center"/>
          </w:tcPr>
          <w:p w14:paraId="3592F397" w14:textId="77777777" w:rsidR="006D079F" w:rsidRPr="00AF73AC" w:rsidRDefault="004108F6">
            <w:pPr>
              <w:spacing w:after="0"/>
              <w:jc w:val="center"/>
              <w:rPr>
                <w:sz w:val="18"/>
                <w:szCs w:val="18"/>
              </w:rPr>
            </w:pPr>
            <w:r w:rsidRPr="00AF73AC">
              <w:rPr>
                <w:b/>
                <w:sz w:val="18"/>
                <w:szCs w:val="18"/>
              </w:rPr>
              <w:t>Individual's role in activity</w:t>
            </w:r>
          </w:p>
        </w:tc>
        <w:tc>
          <w:tcPr>
            <w:tcW w:w="2145" w:type="pct"/>
            <w:tcBorders>
              <w:top w:val="outset" w:sz="6" w:space="0" w:color="auto"/>
              <w:left w:val="outset" w:sz="6" w:space="0" w:color="auto"/>
              <w:bottom w:val="outset" w:sz="6" w:space="0" w:color="auto"/>
              <w:right w:val="outset" w:sz="6" w:space="0" w:color="auto"/>
            </w:tcBorders>
            <w:shd w:val="clear" w:color="auto" w:fill="F5F5F5"/>
            <w:vAlign w:val="center"/>
          </w:tcPr>
          <w:p w14:paraId="6197B21C" w14:textId="77777777" w:rsidR="006D079F" w:rsidRPr="00AF73AC" w:rsidRDefault="004108F6">
            <w:pPr>
              <w:spacing w:after="0"/>
              <w:jc w:val="center"/>
              <w:rPr>
                <w:sz w:val="18"/>
                <w:szCs w:val="18"/>
              </w:rPr>
            </w:pPr>
            <w:r w:rsidRPr="00AF73AC">
              <w:rPr>
                <w:b/>
                <w:sz w:val="18"/>
                <w:szCs w:val="18"/>
              </w:rPr>
              <w:t>Nature of Relationship(s) / Name of Ineligible Company(s)</w:t>
            </w:r>
          </w:p>
        </w:tc>
      </w:tr>
      <w:tr w:rsidR="006D079F" w:rsidRPr="00AF73AC" w14:paraId="2EFEA241" w14:textId="77777777" w:rsidTr="00AF73A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494025F" w14:textId="77777777" w:rsidR="006D079F" w:rsidRPr="00AF73AC" w:rsidRDefault="004108F6">
            <w:pPr>
              <w:spacing w:after="0"/>
              <w:rPr>
                <w:sz w:val="18"/>
                <w:szCs w:val="18"/>
              </w:rPr>
            </w:pPr>
            <w:r w:rsidRPr="00AF73AC">
              <w:rPr>
                <w:sz w:val="18"/>
                <w:szCs w:val="18"/>
              </w:rPr>
              <w:t>Mohammed Najeeb Al Hallak, MD</w:t>
            </w:r>
          </w:p>
        </w:tc>
        <w:tc>
          <w:tcPr>
            <w:tcW w:w="1316" w:type="pct"/>
            <w:tcBorders>
              <w:top w:val="outset" w:sz="6" w:space="0" w:color="auto"/>
              <w:left w:val="outset" w:sz="6" w:space="0" w:color="auto"/>
              <w:bottom w:val="outset" w:sz="6" w:space="0" w:color="auto"/>
              <w:right w:val="outset" w:sz="6" w:space="0" w:color="auto"/>
            </w:tcBorders>
            <w:vAlign w:val="center"/>
          </w:tcPr>
          <w:p w14:paraId="1D2BE9E7" w14:textId="77777777" w:rsidR="006D079F" w:rsidRPr="00AF73AC" w:rsidRDefault="004108F6">
            <w:pPr>
              <w:spacing w:after="0"/>
              <w:rPr>
                <w:sz w:val="18"/>
                <w:szCs w:val="18"/>
              </w:rPr>
            </w:pPr>
            <w:r w:rsidRPr="00AF73AC">
              <w:rPr>
                <w:sz w:val="18"/>
                <w:szCs w:val="18"/>
              </w:rPr>
              <w:t>Faculty</w:t>
            </w:r>
          </w:p>
        </w:tc>
        <w:tc>
          <w:tcPr>
            <w:tcW w:w="2145" w:type="pct"/>
            <w:tcBorders>
              <w:top w:val="outset" w:sz="6" w:space="0" w:color="auto"/>
              <w:left w:val="outset" w:sz="6" w:space="0" w:color="auto"/>
              <w:bottom w:val="outset" w:sz="6" w:space="0" w:color="auto"/>
              <w:right w:val="outset" w:sz="6" w:space="0" w:color="auto"/>
            </w:tcBorders>
            <w:vAlign w:val="center"/>
          </w:tcPr>
          <w:p w14:paraId="38B91245" w14:textId="2329DAB3" w:rsidR="006D079F" w:rsidRPr="004108F6" w:rsidRDefault="004108F6">
            <w:pPr>
              <w:spacing w:after="0"/>
              <w:rPr>
                <w:sz w:val="16"/>
                <w:szCs w:val="16"/>
              </w:rPr>
            </w:pPr>
            <w:r w:rsidRPr="004108F6">
              <w:rPr>
                <w:sz w:val="16"/>
                <w:szCs w:val="16"/>
              </w:rPr>
              <w:t>Speakers Bureau-</w:t>
            </w:r>
            <w:proofErr w:type="spellStart"/>
            <w:r w:rsidRPr="004108F6">
              <w:rPr>
                <w:sz w:val="16"/>
                <w:szCs w:val="16"/>
              </w:rPr>
              <w:t>Astrazenec</w:t>
            </w:r>
            <w:r w:rsidR="00AF73AC" w:rsidRPr="004108F6">
              <w:rPr>
                <w:sz w:val="16"/>
                <w:szCs w:val="16"/>
              </w:rPr>
              <w:t>a</w:t>
            </w:r>
            <w:proofErr w:type="spellEnd"/>
            <w:r w:rsidR="00AF73AC" w:rsidRPr="004108F6">
              <w:rPr>
                <w:sz w:val="16"/>
                <w:szCs w:val="16"/>
              </w:rPr>
              <w:t xml:space="preserve">, </w:t>
            </w:r>
            <w:r w:rsidRPr="004108F6">
              <w:rPr>
                <w:sz w:val="16"/>
                <w:szCs w:val="16"/>
              </w:rPr>
              <w:t>Guardant Health</w:t>
            </w:r>
            <w:r w:rsidR="00AF73AC" w:rsidRPr="004108F6">
              <w:rPr>
                <w:sz w:val="16"/>
                <w:szCs w:val="16"/>
              </w:rPr>
              <w:t xml:space="preserve">, </w:t>
            </w:r>
            <w:r w:rsidRPr="004108F6">
              <w:rPr>
                <w:sz w:val="16"/>
                <w:szCs w:val="16"/>
              </w:rPr>
              <w:t>Pfizer</w:t>
            </w:r>
            <w:r w:rsidR="00AF73AC" w:rsidRPr="004108F6">
              <w:rPr>
                <w:sz w:val="16"/>
                <w:szCs w:val="16"/>
              </w:rPr>
              <w:t xml:space="preserve">, </w:t>
            </w:r>
            <w:r w:rsidRPr="004108F6">
              <w:rPr>
                <w:sz w:val="16"/>
                <w:szCs w:val="16"/>
              </w:rPr>
              <w:t>Astellas</w:t>
            </w:r>
            <w:r w:rsidR="00AF73AC" w:rsidRPr="004108F6">
              <w:rPr>
                <w:sz w:val="16"/>
                <w:szCs w:val="16"/>
              </w:rPr>
              <w:t xml:space="preserve">, </w:t>
            </w:r>
            <w:r w:rsidRPr="004108F6">
              <w:rPr>
                <w:sz w:val="16"/>
                <w:szCs w:val="16"/>
              </w:rPr>
              <w:t>Exelixis</w:t>
            </w:r>
            <w:r w:rsidR="00AF73AC" w:rsidRPr="004108F6">
              <w:rPr>
                <w:sz w:val="16"/>
                <w:szCs w:val="16"/>
              </w:rPr>
              <w:t xml:space="preserve">, </w:t>
            </w:r>
            <w:proofErr w:type="spellStart"/>
            <w:r w:rsidRPr="004108F6">
              <w:rPr>
                <w:sz w:val="16"/>
                <w:szCs w:val="16"/>
              </w:rPr>
              <w:t>BeOne</w:t>
            </w:r>
            <w:proofErr w:type="spellEnd"/>
            <w:r w:rsidR="00AF73AC" w:rsidRPr="004108F6">
              <w:rPr>
                <w:sz w:val="16"/>
                <w:szCs w:val="16"/>
              </w:rPr>
              <w:t xml:space="preserve">, &amp; </w:t>
            </w:r>
            <w:r w:rsidRPr="004108F6">
              <w:rPr>
                <w:sz w:val="16"/>
                <w:szCs w:val="16"/>
              </w:rPr>
              <w:t xml:space="preserve">Incyte </w:t>
            </w:r>
          </w:p>
        </w:tc>
      </w:tr>
      <w:tr w:rsidR="006D079F" w:rsidRPr="00AF73AC" w14:paraId="07C975B5" w14:textId="77777777" w:rsidTr="00AF73A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9A37280" w14:textId="77777777" w:rsidR="006D079F" w:rsidRPr="00AF73AC" w:rsidRDefault="004108F6">
            <w:pPr>
              <w:spacing w:after="0"/>
              <w:rPr>
                <w:sz w:val="18"/>
                <w:szCs w:val="18"/>
              </w:rPr>
            </w:pPr>
            <w:r w:rsidRPr="00AF73AC">
              <w:rPr>
                <w:sz w:val="18"/>
                <w:szCs w:val="18"/>
              </w:rPr>
              <w:t>Abbas Al-Kurd, MD</w:t>
            </w:r>
          </w:p>
        </w:tc>
        <w:tc>
          <w:tcPr>
            <w:tcW w:w="1316" w:type="pct"/>
            <w:tcBorders>
              <w:top w:val="outset" w:sz="6" w:space="0" w:color="auto"/>
              <w:left w:val="outset" w:sz="6" w:space="0" w:color="auto"/>
              <w:bottom w:val="outset" w:sz="6" w:space="0" w:color="auto"/>
              <w:right w:val="outset" w:sz="6" w:space="0" w:color="auto"/>
            </w:tcBorders>
            <w:vAlign w:val="center"/>
          </w:tcPr>
          <w:p w14:paraId="0E6C7F01" w14:textId="77777777" w:rsidR="006D079F" w:rsidRPr="00AF73AC" w:rsidRDefault="004108F6">
            <w:pPr>
              <w:spacing w:after="0"/>
              <w:rPr>
                <w:sz w:val="18"/>
                <w:szCs w:val="18"/>
              </w:rPr>
            </w:pPr>
            <w:r w:rsidRPr="00AF73AC">
              <w:rPr>
                <w:sz w:val="18"/>
                <w:szCs w:val="18"/>
              </w:rPr>
              <w:t>Faculty</w:t>
            </w:r>
          </w:p>
        </w:tc>
        <w:tc>
          <w:tcPr>
            <w:tcW w:w="2145" w:type="pct"/>
            <w:tcBorders>
              <w:top w:val="outset" w:sz="6" w:space="0" w:color="auto"/>
              <w:left w:val="outset" w:sz="6" w:space="0" w:color="auto"/>
              <w:bottom w:val="outset" w:sz="6" w:space="0" w:color="auto"/>
              <w:right w:val="outset" w:sz="6" w:space="0" w:color="auto"/>
            </w:tcBorders>
            <w:vAlign w:val="center"/>
          </w:tcPr>
          <w:p w14:paraId="73510F6B" w14:textId="24E457A6" w:rsidR="006D079F" w:rsidRPr="00AF73AC" w:rsidRDefault="00A60FE2">
            <w:pPr>
              <w:spacing w:after="0"/>
              <w:rPr>
                <w:sz w:val="16"/>
                <w:szCs w:val="16"/>
              </w:rPr>
            </w:pPr>
            <w:r w:rsidRPr="00AF73AC">
              <w:rPr>
                <w:sz w:val="18"/>
                <w:szCs w:val="18"/>
              </w:rPr>
              <w:t>Nothing to disclose</w:t>
            </w:r>
          </w:p>
        </w:tc>
      </w:tr>
      <w:tr w:rsidR="006D079F" w:rsidRPr="00AF73AC" w14:paraId="33CF5D40" w14:textId="77777777" w:rsidTr="00AF73A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6B561B7" w14:textId="20FA2B30" w:rsidR="006D079F" w:rsidRPr="00AF73AC" w:rsidRDefault="004108F6">
            <w:pPr>
              <w:spacing w:after="0"/>
              <w:rPr>
                <w:sz w:val="18"/>
                <w:szCs w:val="18"/>
              </w:rPr>
            </w:pPr>
            <w:r w:rsidRPr="00AF73AC">
              <w:rPr>
                <w:sz w:val="18"/>
                <w:szCs w:val="18"/>
              </w:rPr>
              <w:t xml:space="preserve">Hassan </w:t>
            </w:r>
            <w:proofErr w:type="spellStart"/>
            <w:r w:rsidRPr="00AF73AC">
              <w:rPr>
                <w:sz w:val="18"/>
                <w:szCs w:val="18"/>
              </w:rPr>
              <w:t>Anbari</w:t>
            </w:r>
            <w:proofErr w:type="spellEnd"/>
            <w:r w:rsidRPr="00AF73AC">
              <w:rPr>
                <w:sz w:val="18"/>
                <w:szCs w:val="18"/>
              </w:rPr>
              <w:t>, MD</w:t>
            </w:r>
          </w:p>
        </w:tc>
        <w:tc>
          <w:tcPr>
            <w:tcW w:w="1316" w:type="pct"/>
            <w:tcBorders>
              <w:top w:val="outset" w:sz="6" w:space="0" w:color="auto"/>
              <w:left w:val="outset" w:sz="6" w:space="0" w:color="auto"/>
              <w:bottom w:val="outset" w:sz="6" w:space="0" w:color="auto"/>
              <w:right w:val="outset" w:sz="6" w:space="0" w:color="auto"/>
            </w:tcBorders>
            <w:vAlign w:val="center"/>
          </w:tcPr>
          <w:p w14:paraId="077295D5" w14:textId="77777777" w:rsidR="006D079F" w:rsidRPr="00AF73AC" w:rsidRDefault="004108F6">
            <w:pPr>
              <w:spacing w:after="0"/>
              <w:rPr>
                <w:sz w:val="18"/>
                <w:szCs w:val="18"/>
              </w:rPr>
            </w:pPr>
            <w:r w:rsidRPr="00AF73AC">
              <w:rPr>
                <w:sz w:val="18"/>
                <w:szCs w:val="18"/>
              </w:rPr>
              <w:t>Faculty</w:t>
            </w:r>
          </w:p>
        </w:tc>
        <w:tc>
          <w:tcPr>
            <w:tcW w:w="2145" w:type="pct"/>
            <w:tcBorders>
              <w:top w:val="outset" w:sz="6" w:space="0" w:color="auto"/>
              <w:left w:val="outset" w:sz="6" w:space="0" w:color="auto"/>
              <w:bottom w:val="outset" w:sz="6" w:space="0" w:color="auto"/>
              <w:right w:val="outset" w:sz="6" w:space="0" w:color="auto"/>
            </w:tcBorders>
            <w:vAlign w:val="center"/>
          </w:tcPr>
          <w:p w14:paraId="51EAB284" w14:textId="3FEF947C" w:rsidR="006D079F" w:rsidRPr="00AF73AC" w:rsidRDefault="004108F6">
            <w:pPr>
              <w:spacing w:after="0"/>
              <w:rPr>
                <w:sz w:val="18"/>
                <w:szCs w:val="18"/>
              </w:rPr>
            </w:pPr>
            <w:r w:rsidRPr="00AF73AC">
              <w:rPr>
                <w:sz w:val="18"/>
                <w:szCs w:val="18"/>
              </w:rPr>
              <w:t xml:space="preserve">Nothing to disclose </w:t>
            </w:r>
          </w:p>
        </w:tc>
      </w:tr>
      <w:tr w:rsidR="006D079F" w:rsidRPr="00AF73AC" w14:paraId="4353E17B" w14:textId="77777777" w:rsidTr="00AF73A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5393E49" w14:textId="77777777" w:rsidR="006D079F" w:rsidRPr="00AF73AC" w:rsidRDefault="004108F6">
            <w:pPr>
              <w:spacing w:after="0"/>
              <w:rPr>
                <w:sz w:val="18"/>
                <w:szCs w:val="18"/>
              </w:rPr>
            </w:pPr>
            <w:r w:rsidRPr="00AF73AC">
              <w:rPr>
                <w:sz w:val="18"/>
                <w:szCs w:val="18"/>
              </w:rPr>
              <w:t>Sreenivasa Chandana, MD, PhD</w:t>
            </w:r>
          </w:p>
        </w:tc>
        <w:tc>
          <w:tcPr>
            <w:tcW w:w="1316" w:type="pct"/>
            <w:tcBorders>
              <w:top w:val="outset" w:sz="6" w:space="0" w:color="auto"/>
              <w:left w:val="outset" w:sz="6" w:space="0" w:color="auto"/>
              <w:bottom w:val="outset" w:sz="6" w:space="0" w:color="auto"/>
              <w:right w:val="outset" w:sz="6" w:space="0" w:color="auto"/>
            </w:tcBorders>
            <w:vAlign w:val="center"/>
          </w:tcPr>
          <w:p w14:paraId="70174EC8" w14:textId="77777777" w:rsidR="006D079F" w:rsidRPr="00AF73AC" w:rsidRDefault="004108F6">
            <w:pPr>
              <w:spacing w:after="0"/>
              <w:rPr>
                <w:sz w:val="18"/>
                <w:szCs w:val="18"/>
              </w:rPr>
            </w:pPr>
            <w:r w:rsidRPr="00AF73AC">
              <w:rPr>
                <w:sz w:val="18"/>
                <w:szCs w:val="18"/>
              </w:rPr>
              <w:t>Faculty</w:t>
            </w:r>
          </w:p>
        </w:tc>
        <w:tc>
          <w:tcPr>
            <w:tcW w:w="2145" w:type="pct"/>
            <w:tcBorders>
              <w:top w:val="outset" w:sz="6" w:space="0" w:color="auto"/>
              <w:left w:val="outset" w:sz="6" w:space="0" w:color="auto"/>
              <w:bottom w:val="outset" w:sz="6" w:space="0" w:color="auto"/>
              <w:right w:val="outset" w:sz="6" w:space="0" w:color="auto"/>
            </w:tcBorders>
            <w:vAlign w:val="center"/>
          </w:tcPr>
          <w:p w14:paraId="49364DCF" w14:textId="65734ADF" w:rsidR="006D079F" w:rsidRPr="00AF73AC" w:rsidRDefault="004108F6">
            <w:pPr>
              <w:spacing w:after="0"/>
              <w:rPr>
                <w:sz w:val="16"/>
                <w:szCs w:val="16"/>
              </w:rPr>
            </w:pPr>
            <w:r w:rsidRPr="00AF73AC">
              <w:rPr>
                <w:sz w:val="16"/>
                <w:szCs w:val="16"/>
              </w:rPr>
              <w:t>Grant or research support-AbbVie</w:t>
            </w:r>
            <w:r w:rsidR="00AF73AC" w:rsidRPr="00AF73AC">
              <w:rPr>
                <w:sz w:val="16"/>
                <w:szCs w:val="16"/>
              </w:rPr>
              <w:t xml:space="preserve">, </w:t>
            </w:r>
            <w:proofErr w:type="gramStart"/>
            <w:r w:rsidRPr="00AF73AC">
              <w:rPr>
                <w:sz w:val="16"/>
                <w:szCs w:val="16"/>
              </w:rPr>
              <w:t>Amgen</w:t>
            </w:r>
            <w:r w:rsidR="00AF73AC" w:rsidRPr="00AF73AC">
              <w:rPr>
                <w:sz w:val="16"/>
                <w:szCs w:val="16"/>
              </w:rPr>
              <w:t xml:space="preserve">, </w:t>
            </w:r>
            <w:r w:rsidRPr="00AF73AC">
              <w:rPr>
                <w:sz w:val="16"/>
                <w:szCs w:val="16"/>
              </w:rPr>
              <w:t xml:space="preserve"> Astellas</w:t>
            </w:r>
            <w:proofErr w:type="gramEnd"/>
            <w:r w:rsidR="00AF73AC" w:rsidRPr="00AF73AC">
              <w:rPr>
                <w:sz w:val="16"/>
                <w:szCs w:val="16"/>
              </w:rPr>
              <w:t xml:space="preserve">, </w:t>
            </w:r>
            <w:proofErr w:type="spellStart"/>
            <w:r w:rsidR="00AF73AC" w:rsidRPr="00AF73AC">
              <w:rPr>
                <w:sz w:val="16"/>
                <w:szCs w:val="16"/>
              </w:rPr>
              <w:t>A</w:t>
            </w:r>
            <w:r w:rsidRPr="00AF73AC">
              <w:rPr>
                <w:sz w:val="16"/>
                <w:szCs w:val="16"/>
              </w:rPr>
              <w:t>strazeneca</w:t>
            </w:r>
            <w:proofErr w:type="spellEnd"/>
            <w:r w:rsidR="00AF73AC" w:rsidRPr="00AF73AC">
              <w:rPr>
                <w:sz w:val="16"/>
                <w:szCs w:val="16"/>
              </w:rPr>
              <w:t xml:space="preserve">, </w:t>
            </w:r>
            <w:r w:rsidRPr="00AF73AC">
              <w:rPr>
                <w:sz w:val="16"/>
                <w:szCs w:val="16"/>
              </w:rPr>
              <w:t>BMS</w:t>
            </w:r>
            <w:r w:rsidR="00AF73AC" w:rsidRPr="00AF73AC">
              <w:rPr>
                <w:sz w:val="16"/>
                <w:szCs w:val="16"/>
              </w:rPr>
              <w:t xml:space="preserve">, </w:t>
            </w:r>
            <w:r w:rsidRPr="00AF73AC">
              <w:rPr>
                <w:sz w:val="16"/>
                <w:szCs w:val="16"/>
              </w:rPr>
              <w:t>Exact Sciences</w:t>
            </w:r>
            <w:r w:rsidR="00AF73AC" w:rsidRPr="00AF73AC">
              <w:rPr>
                <w:sz w:val="16"/>
                <w:szCs w:val="16"/>
              </w:rPr>
              <w:t xml:space="preserve">, </w:t>
            </w:r>
            <w:r w:rsidRPr="00AF73AC">
              <w:rPr>
                <w:sz w:val="16"/>
                <w:szCs w:val="16"/>
              </w:rPr>
              <w:t>Exelixis</w:t>
            </w:r>
            <w:r w:rsidR="00AF73AC" w:rsidRPr="00AF73AC">
              <w:rPr>
                <w:sz w:val="16"/>
                <w:szCs w:val="16"/>
              </w:rPr>
              <w:t>,</w:t>
            </w:r>
            <w:r w:rsidRPr="00AF73AC">
              <w:rPr>
                <w:sz w:val="16"/>
                <w:szCs w:val="16"/>
              </w:rPr>
              <w:t xml:space="preserve"> Genentech</w:t>
            </w:r>
            <w:r w:rsidR="00AF73AC" w:rsidRPr="00AF73AC">
              <w:rPr>
                <w:sz w:val="16"/>
                <w:szCs w:val="16"/>
              </w:rPr>
              <w:t xml:space="preserve">, </w:t>
            </w:r>
            <w:r w:rsidRPr="00AF73AC">
              <w:rPr>
                <w:sz w:val="16"/>
                <w:szCs w:val="16"/>
              </w:rPr>
              <w:t>Johnson &amp; Johnson</w:t>
            </w:r>
            <w:r w:rsidR="00AF73AC" w:rsidRPr="00AF73AC">
              <w:rPr>
                <w:sz w:val="16"/>
                <w:szCs w:val="16"/>
              </w:rPr>
              <w:t xml:space="preserve">, </w:t>
            </w:r>
            <w:r w:rsidRPr="00AF73AC">
              <w:rPr>
                <w:sz w:val="16"/>
                <w:szCs w:val="16"/>
              </w:rPr>
              <w:t>Janssen</w:t>
            </w:r>
            <w:r w:rsidR="00AF73AC" w:rsidRPr="00AF73AC">
              <w:rPr>
                <w:sz w:val="16"/>
                <w:szCs w:val="16"/>
              </w:rPr>
              <w:t xml:space="preserve">, </w:t>
            </w:r>
            <w:r w:rsidRPr="00AF73AC">
              <w:rPr>
                <w:sz w:val="16"/>
                <w:szCs w:val="16"/>
              </w:rPr>
              <w:t>Merck</w:t>
            </w:r>
            <w:r w:rsidR="00AF73AC" w:rsidRPr="00AF73AC">
              <w:rPr>
                <w:sz w:val="16"/>
                <w:szCs w:val="16"/>
              </w:rPr>
              <w:t xml:space="preserve">, </w:t>
            </w:r>
            <w:proofErr w:type="spellStart"/>
            <w:r w:rsidRPr="00AF73AC">
              <w:rPr>
                <w:sz w:val="16"/>
                <w:szCs w:val="16"/>
              </w:rPr>
              <w:t>Novocure</w:t>
            </w:r>
            <w:proofErr w:type="spellEnd"/>
            <w:r w:rsidRPr="00AF73AC">
              <w:rPr>
                <w:sz w:val="16"/>
                <w:szCs w:val="16"/>
              </w:rPr>
              <w:t>|</w:t>
            </w:r>
            <w:r w:rsidR="00AF73AC" w:rsidRPr="00AF73AC">
              <w:rPr>
                <w:sz w:val="16"/>
                <w:szCs w:val="16"/>
              </w:rPr>
              <w:t xml:space="preserve"> </w:t>
            </w:r>
            <w:r w:rsidRPr="00AF73AC">
              <w:rPr>
                <w:sz w:val="16"/>
                <w:szCs w:val="16"/>
              </w:rPr>
              <w:t>S</w:t>
            </w:r>
            <w:r w:rsidRPr="00AF73AC">
              <w:rPr>
                <w:sz w:val="16"/>
                <w:szCs w:val="16"/>
              </w:rPr>
              <w:t>p</w:t>
            </w:r>
            <w:r w:rsidRPr="00AF73AC">
              <w:rPr>
                <w:sz w:val="16"/>
                <w:szCs w:val="16"/>
              </w:rPr>
              <w:t>e</w:t>
            </w:r>
            <w:r w:rsidRPr="00AF73AC">
              <w:rPr>
                <w:sz w:val="16"/>
                <w:szCs w:val="16"/>
              </w:rPr>
              <w:t>a</w:t>
            </w:r>
            <w:r w:rsidRPr="00AF73AC">
              <w:rPr>
                <w:sz w:val="16"/>
                <w:szCs w:val="16"/>
              </w:rPr>
              <w:t>k</w:t>
            </w:r>
            <w:r w:rsidRPr="00AF73AC">
              <w:rPr>
                <w:sz w:val="16"/>
                <w:szCs w:val="16"/>
              </w:rPr>
              <w:t>e</w:t>
            </w:r>
            <w:r w:rsidRPr="00AF73AC">
              <w:rPr>
                <w:sz w:val="16"/>
                <w:szCs w:val="16"/>
              </w:rPr>
              <w:t>r</w:t>
            </w:r>
            <w:r w:rsidRPr="00AF73AC">
              <w:rPr>
                <w:sz w:val="16"/>
                <w:szCs w:val="16"/>
              </w:rPr>
              <w:t>s</w:t>
            </w:r>
            <w:r w:rsidRPr="00AF73AC">
              <w:rPr>
                <w:sz w:val="16"/>
                <w:szCs w:val="16"/>
              </w:rPr>
              <w:t xml:space="preserve"> </w:t>
            </w:r>
            <w:r w:rsidRPr="00AF73AC">
              <w:rPr>
                <w:sz w:val="16"/>
                <w:szCs w:val="16"/>
              </w:rPr>
              <w:t>B</w:t>
            </w:r>
            <w:r w:rsidRPr="00AF73AC">
              <w:rPr>
                <w:sz w:val="16"/>
                <w:szCs w:val="16"/>
              </w:rPr>
              <w:t>u</w:t>
            </w:r>
            <w:r w:rsidRPr="00AF73AC">
              <w:rPr>
                <w:sz w:val="16"/>
                <w:szCs w:val="16"/>
              </w:rPr>
              <w:t>r</w:t>
            </w:r>
            <w:r w:rsidRPr="00AF73AC">
              <w:rPr>
                <w:sz w:val="16"/>
                <w:szCs w:val="16"/>
              </w:rPr>
              <w:t>e</w:t>
            </w:r>
            <w:r w:rsidRPr="00AF73AC">
              <w:rPr>
                <w:sz w:val="16"/>
                <w:szCs w:val="16"/>
              </w:rPr>
              <w:t>a</w:t>
            </w:r>
            <w:r w:rsidRPr="00AF73AC">
              <w:rPr>
                <w:sz w:val="16"/>
                <w:szCs w:val="16"/>
              </w:rPr>
              <w:t>u</w:t>
            </w:r>
            <w:r w:rsidRPr="00AF73AC">
              <w:rPr>
                <w:sz w:val="16"/>
                <w:szCs w:val="16"/>
              </w:rPr>
              <w:t>-Natera|</w:t>
            </w:r>
            <w:r w:rsidR="00AF73AC" w:rsidRPr="00AF73AC">
              <w:rPr>
                <w:sz w:val="16"/>
                <w:szCs w:val="16"/>
              </w:rPr>
              <w:t xml:space="preserve"> </w:t>
            </w:r>
            <w:proofErr w:type="spellStart"/>
            <w:r w:rsidRPr="00AF73AC">
              <w:rPr>
                <w:sz w:val="16"/>
                <w:szCs w:val="16"/>
              </w:rPr>
              <w:t>Advisor-Novocure|Consulting</w:t>
            </w:r>
            <w:proofErr w:type="spellEnd"/>
            <w:r w:rsidRPr="00AF73AC">
              <w:rPr>
                <w:sz w:val="16"/>
                <w:szCs w:val="16"/>
              </w:rPr>
              <w:t xml:space="preserve"> Fee-</w:t>
            </w:r>
            <w:proofErr w:type="spellStart"/>
            <w:r w:rsidRPr="00AF73AC">
              <w:rPr>
                <w:sz w:val="16"/>
                <w:szCs w:val="16"/>
              </w:rPr>
              <w:t>Astrazeneca</w:t>
            </w:r>
            <w:proofErr w:type="spellEnd"/>
            <w:r w:rsidR="00AF73AC" w:rsidRPr="00AF73AC">
              <w:rPr>
                <w:sz w:val="16"/>
                <w:szCs w:val="16"/>
              </w:rPr>
              <w:t xml:space="preserve"> &amp; </w:t>
            </w:r>
            <w:r w:rsidRPr="00AF73AC">
              <w:rPr>
                <w:sz w:val="16"/>
                <w:szCs w:val="16"/>
              </w:rPr>
              <w:t>-Eisai</w:t>
            </w:r>
          </w:p>
        </w:tc>
      </w:tr>
      <w:tr w:rsidR="006D079F" w:rsidRPr="00AF73AC" w14:paraId="0D1DB55C" w14:textId="77777777" w:rsidTr="00AF73A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3FDF903" w14:textId="77777777" w:rsidR="006D079F" w:rsidRPr="00AF73AC" w:rsidRDefault="004108F6">
            <w:pPr>
              <w:spacing w:after="0"/>
              <w:rPr>
                <w:sz w:val="18"/>
                <w:szCs w:val="18"/>
              </w:rPr>
            </w:pPr>
            <w:r w:rsidRPr="00AF73AC">
              <w:rPr>
                <w:sz w:val="18"/>
                <w:szCs w:val="18"/>
              </w:rPr>
              <w:t>Crystal M Gyiraszin, MS</w:t>
            </w:r>
          </w:p>
        </w:tc>
        <w:tc>
          <w:tcPr>
            <w:tcW w:w="1316" w:type="pct"/>
            <w:tcBorders>
              <w:top w:val="outset" w:sz="6" w:space="0" w:color="auto"/>
              <w:left w:val="outset" w:sz="6" w:space="0" w:color="auto"/>
              <w:bottom w:val="outset" w:sz="6" w:space="0" w:color="auto"/>
              <w:right w:val="outset" w:sz="6" w:space="0" w:color="auto"/>
            </w:tcBorders>
            <w:vAlign w:val="center"/>
          </w:tcPr>
          <w:p w14:paraId="4146ACF3" w14:textId="77777777" w:rsidR="006D079F" w:rsidRPr="00AF73AC" w:rsidRDefault="004108F6">
            <w:pPr>
              <w:spacing w:after="0"/>
              <w:rPr>
                <w:sz w:val="18"/>
                <w:szCs w:val="18"/>
              </w:rPr>
            </w:pPr>
            <w:r w:rsidRPr="00AF73AC">
              <w:rPr>
                <w:sz w:val="18"/>
                <w:szCs w:val="18"/>
              </w:rPr>
              <w:t>CME Reviewer</w:t>
            </w:r>
          </w:p>
        </w:tc>
        <w:tc>
          <w:tcPr>
            <w:tcW w:w="2145" w:type="pct"/>
            <w:tcBorders>
              <w:top w:val="outset" w:sz="6" w:space="0" w:color="auto"/>
              <w:left w:val="outset" w:sz="6" w:space="0" w:color="auto"/>
              <w:bottom w:val="outset" w:sz="6" w:space="0" w:color="auto"/>
              <w:right w:val="outset" w:sz="6" w:space="0" w:color="auto"/>
            </w:tcBorders>
            <w:vAlign w:val="center"/>
          </w:tcPr>
          <w:p w14:paraId="4F65BD58" w14:textId="130C4BB8" w:rsidR="006D079F" w:rsidRPr="00AF73AC" w:rsidRDefault="004108F6">
            <w:pPr>
              <w:spacing w:after="0"/>
              <w:rPr>
                <w:sz w:val="18"/>
                <w:szCs w:val="18"/>
              </w:rPr>
            </w:pPr>
            <w:r w:rsidRPr="00AF73AC">
              <w:rPr>
                <w:sz w:val="18"/>
                <w:szCs w:val="18"/>
              </w:rPr>
              <w:t xml:space="preserve">Nothing to disclose </w:t>
            </w:r>
          </w:p>
        </w:tc>
      </w:tr>
      <w:tr w:rsidR="006D079F" w:rsidRPr="00AF73AC" w14:paraId="53412D3D" w14:textId="77777777" w:rsidTr="00AF73A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7C33C79" w14:textId="77777777" w:rsidR="006D079F" w:rsidRPr="00AF73AC" w:rsidRDefault="004108F6">
            <w:pPr>
              <w:spacing w:after="0"/>
              <w:rPr>
                <w:sz w:val="18"/>
                <w:szCs w:val="18"/>
              </w:rPr>
            </w:pPr>
            <w:r w:rsidRPr="00AF73AC">
              <w:rPr>
                <w:sz w:val="18"/>
                <w:szCs w:val="18"/>
              </w:rPr>
              <w:t>Tracy Licari, PA-C</w:t>
            </w:r>
          </w:p>
        </w:tc>
        <w:tc>
          <w:tcPr>
            <w:tcW w:w="1316" w:type="pct"/>
            <w:tcBorders>
              <w:top w:val="outset" w:sz="6" w:space="0" w:color="auto"/>
              <w:left w:val="outset" w:sz="6" w:space="0" w:color="auto"/>
              <w:bottom w:val="outset" w:sz="6" w:space="0" w:color="auto"/>
              <w:right w:val="outset" w:sz="6" w:space="0" w:color="auto"/>
            </w:tcBorders>
            <w:vAlign w:val="center"/>
          </w:tcPr>
          <w:p w14:paraId="27F3D4AF" w14:textId="77777777" w:rsidR="006D079F" w:rsidRPr="00AF73AC" w:rsidRDefault="004108F6">
            <w:pPr>
              <w:spacing w:after="0"/>
              <w:rPr>
                <w:sz w:val="18"/>
                <w:szCs w:val="18"/>
              </w:rPr>
            </w:pPr>
            <w:r w:rsidRPr="00AF73AC">
              <w:rPr>
                <w:sz w:val="18"/>
                <w:szCs w:val="18"/>
              </w:rPr>
              <w:t>Faculty</w:t>
            </w:r>
          </w:p>
        </w:tc>
        <w:tc>
          <w:tcPr>
            <w:tcW w:w="2145" w:type="pct"/>
            <w:tcBorders>
              <w:top w:val="outset" w:sz="6" w:space="0" w:color="auto"/>
              <w:left w:val="outset" w:sz="6" w:space="0" w:color="auto"/>
              <w:bottom w:val="outset" w:sz="6" w:space="0" w:color="auto"/>
              <w:right w:val="outset" w:sz="6" w:space="0" w:color="auto"/>
            </w:tcBorders>
            <w:vAlign w:val="center"/>
          </w:tcPr>
          <w:p w14:paraId="50331889" w14:textId="59C18B3D" w:rsidR="006D079F" w:rsidRPr="00AF73AC" w:rsidRDefault="004108F6">
            <w:pPr>
              <w:spacing w:after="0"/>
              <w:rPr>
                <w:sz w:val="18"/>
                <w:szCs w:val="18"/>
              </w:rPr>
            </w:pPr>
            <w:r w:rsidRPr="00AF73AC">
              <w:rPr>
                <w:sz w:val="18"/>
                <w:szCs w:val="18"/>
              </w:rPr>
              <w:t xml:space="preserve">Nothing to disclose </w:t>
            </w:r>
          </w:p>
        </w:tc>
      </w:tr>
      <w:tr w:rsidR="006D079F" w:rsidRPr="00AF73AC" w14:paraId="33E465BC" w14:textId="77777777" w:rsidTr="00AF73A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6716577" w14:textId="77777777" w:rsidR="006D079F" w:rsidRPr="00AF73AC" w:rsidRDefault="004108F6">
            <w:pPr>
              <w:spacing w:after="0"/>
              <w:rPr>
                <w:sz w:val="18"/>
                <w:szCs w:val="18"/>
              </w:rPr>
            </w:pPr>
            <w:r w:rsidRPr="00AF73AC">
              <w:rPr>
                <w:sz w:val="18"/>
                <w:szCs w:val="18"/>
              </w:rPr>
              <w:t>Mishal Mendiratta-Lala, MD</w:t>
            </w:r>
          </w:p>
        </w:tc>
        <w:tc>
          <w:tcPr>
            <w:tcW w:w="1316" w:type="pct"/>
            <w:tcBorders>
              <w:top w:val="outset" w:sz="6" w:space="0" w:color="auto"/>
              <w:left w:val="outset" w:sz="6" w:space="0" w:color="auto"/>
              <w:bottom w:val="outset" w:sz="6" w:space="0" w:color="auto"/>
              <w:right w:val="outset" w:sz="6" w:space="0" w:color="auto"/>
            </w:tcBorders>
            <w:vAlign w:val="center"/>
          </w:tcPr>
          <w:p w14:paraId="474E33B6" w14:textId="77777777" w:rsidR="006D079F" w:rsidRPr="00AF73AC" w:rsidRDefault="004108F6">
            <w:pPr>
              <w:spacing w:after="0"/>
              <w:rPr>
                <w:sz w:val="18"/>
                <w:szCs w:val="18"/>
              </w:rPr>
            </w:pPr>
            <w:r w:rsidRPr="00AF73AC">
              <w:rPr>
                <w:sz w:val="18"/>
                <w:szCs w:val="18"/>
              </w:rPr>
              <w:t>Faculty</w:t>
            </w:r>
          </w:p>
        </w:tc>
        <w:tc>
          <w:tcPr>
            <w:tcW w:w="2145" w:type="pct"/>
            <w:tcBorders>
              <w:top w:val="outset" w:sz="6" w:space="0" w:color="auto"/>
              <w:left w:val="outset" w:sz="6" w:space="0" w:color="auto"/>
              <w:bottom w:val="outset" w:sz="6" w:space="0" w:color="auto"/>
              <w:right w:val="outset" w:sz="6" w:space="0" w:color="auto"/>
            </w:tcBorders>
            <w:vAlign w:val="center"/>
          </w:tcPr>
          <w:p w14:paraId="1E22B0C6" w14:textId="7107823E" w:rsidR="006D079F" w:rsidRPr="00AF73AC" w:rsidRDefault="004108F6">
            <w:pPr>
              <w:spacing w:after="0"/>
              <w:rPr>
                <w:sz w:val="18"/>
                <w:szCs w:val="18"/>
              </w:rPr>
            </w:pPr>
            <w:r w:rsidRPr="00AF73AC">
              <w:rPr>
                <w:sz w:val="18"/>
                <w:szCs w:val="18"/>
              </w:rPr>
              <w:t xml:space="preserve">Nothing to disclose </w:t>
            </w:r>
          </w:p>
        </w:tc>
      </w:tr>
      <w:tr w:rsidR="006D079F" w:rsidRPr="00AF73AC" w14:paraId="71E6AE90" w14:textId="77777777" w:rsidTr="00AF73A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C1FB3EA" w14:textId="77777777" w:rsidR="006D079F" w:rsidRPr="00AF73AC" w:rsidRDefault="004108F6">
            <w:pPr>
              <w:spacing w:after="0"/>
              <w:rPr>
                <w:sz w:val="18"/>
                <w:szCs w:val="18"/>
              </w:rPr>
            </w:pPr>
            <w:r w:rsidRPr="00AF73AC">
              <w:rPr>
                <w:sz w:val="18"/>
                <w:szCs w:val="18"/>
              </w:rPr>
              <w:t xml:space="preserve">Christina </w:t>
            </w:r>
            <w:r w:rsidRPr="00AF73AC">
              <w:rPr>
                <w:sz w:val="18"/>
                <w:szCs w:val="18"/>
              </w:rPr>
              <w:t>Miller, BS</w:t>
            </w:r>
          </w:p>
        </w:tc>
        <w:tc>
          <w:tcPr>
            <w:tcW w:w="1316" w:type="pct"/>
            <w:tcBorders>
              <w:top w:val="outset" w:sz="6" w:space="0" w:color="auto"/>
              <w:left w:val="outset" w:sz="6" w:space="0" w:color="auto"/>
              <w:bottom w:val="outset" w:sz="6" w:space="0" w:color="auto"/>
              <w:right w:val="outset" w:sz="6" w:space="0" w:color="auto"/>
            </w:tcBorders>
            <w:vAlign w:val="center"/>
          </w:tcPr>
          <w:p w14:paraId="4745F0F3" w14:textId="77777777" w:rsidR="006D079F" w:rsidRPr="00AF73AC" w:rsidRDefault="004108F6">
            <w:pPr>
              <w:spacing w:after="0"/>
              <w:rPr>
                <w:sz w:val="18"/>
                <w:szCs w:val="18"/>
              </w:rPr>
            </w:pPr>
            <w:r w:rsidRPr="00AF73AC">
              <w:rPr>
                <w:sz w:val="18"/>
                <w:szCs w:val="18"/>
              </w:rPr>
              <w:t>CME Specialist</w:t>
            </w:r>
          </w:p>
        </w:tc>
        <w:tc>
          <w:tcPr>
            <w:tcW w:w="2145" w:type="pct"/>
            <w:tcBorders>
              <w:top w:val="outset" w:sz="6" w:space="0" w:color="auto"/>
              <w:left w:val="outset" w:sz="6" w:space="0" w:color="auto"/>
              <w:bottom w:val="outset" w:sz="6" w:space="0" w:color="auto"/>
              <w:right w:val="outset" w:sz="6" w:space="0" w:color="auto"/>
            </w:tcBorders>
            <w:vAlign w:val="center"/>
          </w:tcPr>
          <w:p w14:paraId="6139650E" w14:textId="481C719E" w:rsidR="006D079F" w:rsidRPr="00AF73AC" w:rsidRDefault="004108F6">
            <w:pPr>
              <w:spacing w:after="0"/>
              <w:rPr>
                <w:sz w:val="18"/>
                <w:szCs w:val="18"/>
              </w:rPr>
            </w:pPr>
            <w:r w:rsidRPr="00AF73AC">
              <w:rPr>
                <w:sz w:val="18"/>
                <w:szCs w:val="18"/>
              </w:rPr>
              <w:t xml:space="preserve">Nothing to disclose </w:t>
            </w:r>
          </w:p>
        </w:tc>
      </w:tr>
      <w:tr w:rsidR="006D079F" w:rsidRPr="00AF73AC" w14:paraId="42EBF495" w14:textId="77777777" w:rsidTr="00AF73A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9C3BA68" w14:textId="77777777" w:rsidR="006D079F" w:rsidRPr="00AF73AC" w:rsidRDefault="004108F6">
            <w:pPr>
              <w:spacing w:after="0"/>
              <w:rPr>
                <w:sz w:val="18"/>
                <w:szCs w:val="18"/>
              </w:rPr>
            </w:pPr>
            <w:r w:rsidRPr="00AF73AC">
              <w:rPr>
                <w:sz w:val="18"/>
                <w:szCs w:val="18"/>
              </w:rPr>
              <w:t>Tami O'connor</w:t>
            </w:r>
          </w:p>
        </w:tc>
        <w:tc>
          <w:tcPr>
            <w:tcW w:w="1316" w:type="pct"/>
            <w:tcBorders>
              <w:top w:val="outset" w:sz="6" w:space="0" w:color="auto"/>
              <w:left w:val="outset" w:sz="6" w:space="0" w:color="auto"/>
              <w:bottom w:val="outset" w:sz="6" w:space="0" w:color="auto"/>
              <w:right w:val="outset" w:sz="6" w:space="0" w:color="auto"/>
            </w:tcBorders>
            <w:vAlign w:val="center"/>
          </w:tcPr>
          <w:p w14:paraId="24D2F76F" w14:textId="77777777" w:rsidR="006D079F" w:rsidRPr="00AF73AC" w:rsidRDefault="004108F6">
            <w:pPr>
              <w:spacing w:after="0"/>
              <w:rPr>
                <w:sz w:val="18"/>
                <w:szCs w:val="18"/>
              </w:rPr>
            </w:pPr>
            <w:r w:rsidRPr="00AF73AC">
              <w:rPr>
                <w:sz w:val="18"/>
                <w:szCs w:val="18"/>
              </w:rPr>
              <w:t>Activity Coordinator</w:t>
            </w:r>
          </w:p>
        </w:tc>
        <w:tc>
          <w:tcPr>
            <w:tcW w:w="2145" w:type="pct"/>
            <w:tcBorders>
              <w:top w:val="outset" w:sz="6" w:space="0" w:color="auto"/>
              <w:left w:val="outset" w:sz="6" w:space="0" w:color="auto"/>
              <w:bottom w:val="outset" w:sz="6" w:space="0" w:color="auto"/>
              <w:right w:val="outset" w:sz="6" w:space="0" w:color="auto"/>
            </w:tcBorders>
            <w:vAlign w:val="center"/>
          </w:tcPr>
          <w:p w14:paraId="4C6B1405" w14:textId="063FA639" w:rsidR="006D079F" w:rsidRPr="00AF73AC" w:rsidRDefault="004108F6">
            <w:pPr>
              <w:spacing w:after="0"/>
              <w:rPr>
                <w:sz w:val="18"/>
                <w:szCs w:val="18"/>
              </w:rPr>
            </w:pPr>
            <w:r w:rsidRPr="00AF73AC">
              <w:rPr>
                <w:sz w:val="18"/>
                <w:szCs w:val="18"/>
              </w:rPr>
              <w:t xml:space="preserve">Nothing to disclose </w:t>
            </w:r>
          </w:p>
        </w:tc>
      </w:tr>
      <w:tr w:rsidR="006D079F" w:rsidRPr="00AF73AC" w14:paraId="5E572BB6" w14:textId="77777777" w:rsidTr="00AF73A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112E020" w14:textId="77777777" w:rsidR="006D079F" w:rsidRPr="00AF73AC" w:rsidRDefault="004108F6">
            <w:pPr>
              <w:spacing w:after="0"/>
              <w:rPr>
                <w:sz w:val="18"/>
                <w:szCs w:val="18"/>
              </w:rPr>
            </w:pPr>
            <w:r w:rsidRPr="00AF73AC">
              <w:rPr>
                <w:sz w:val="18"/>
                <w:szCs w:val="18"/>
              </w:rPr>
              <w:t>Parag Parikh, MD</w:t>
            </w:r>
          </w:p>
        </w:tc>
        <w:tc>
          <w:tcPr>
            <w:tcW w:w="1316" w:type="pct"/>
            <w:tcBorders>
              <w:top w:val="outset" w:sz="6" w:space="0" w:color="auto"/>
              <w:left w:val="outset" w:sz="6" w:space="0" w:color="auto"/>
              <w:bottom w:val="outset" w:sz="6" w:space="0" w:color="auto"/>
              <w:right w:val="outset" w:sz="6" w:space="0" w:color="auto"/>
            </w:tcBorders>
            <w:vAlign w:val="center"/>
          </w:tcPr>
          <w:p w14:paraId="7C2D3052" w14:textId="77777777" w:rsidR="006D079F" w:rsidRPr="00AF73AC" w:rsidRDefault="004108F6">
            <w:pPr>
              <w:spacing w:after="0"/>
              <w:rPr>
                <w:sz w:val="18"/>
                <w:szCs w:val="18"/>
              </w:rPr>
            </w:pPr>
            <w:r w:rsidRPr="00AF73AC">
              <w:rPr>
                <w:sz w:val="18"/>
                <w:szCs w:val="18"/>
              </w:rPr>
              <w:t>Faculty</w:t>
            </w:r>
          </w:p>
        </w:tc>
        <w:tc>
          <w:tcPr>
            <w:tcW w:w="2145" w:type="pct"/>
            <w:tcBorders>
              <w:top w:val="outset" w:sz="6" w:space="0" w:color="auto"/>
              <w:left w:val="outset" w:sz="6" w:space="0" w:color="auto"/>
              <w:bottom w:val="outset" w:sz="6" w:space="0" w:color="auto"/>
              <w:right w:val="outset" w:sz="6" w:space="0" w:color="auto"/>
            </w:tcBorders>
            <w:vAlign w:val="center"/>
          </w:tcPr>
          <w:p w14:paraId="6CA3AE00" w14:textId="52D89ACB" w:rsidR="006D079F" w:rsidRPr="00AF73AC" w:rsidRDefault="004108F6">
            <w:pPr>
              <w:spacing w:after="0"/>
              <w:rPr>
                <w:sz w:val="18"/>
                <w:szCs w:val="18"/>
              </w:rPr>
            </w:pPr>
            <w:r w:rsidRPr="00AF73AC">
              <w:rPr>
                <w:sz w:val="18"/>
                <w:szCs w:val="18"/>
              </w:rPr>
              <w:t xml:space="preserve">Nothing to disclose </w:t>
            </w:r>
          </w:p>
        </w:tc>
      </w:tr>
      <w:tr w:rsidR="006D079F" w:rsidRPr="00AF73AC" w14:paraId="602D03C5" w14:textId="77777777" w:rsidTr="00AF73A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134CCBE" w14:textId="77777777" w:rsidR="006D079F" w:rsidRPr="00AF73AC" w:rsidRDefault="004108F6">
            <w:pPr>
              <w:spacing w:after="0"/>
              <w:rPr>
                <w:sz w:val="18"/>
                <w:szCs w:val="18"/>
              </w:rPr>
            </w:pPr>
            <w:r w:rsidRPr="00AF73AC">
              <w:rPr>
                <w:sz w:val="18"/>
                <w:szCs w:val="18"/>
              </w:rPr>
              <w:t>Neehar Parikh, MD</w:t>
            </w:r>
          </w:p>
        </w:tc>
        <w:tc>
          <w:tcPr>
            <w:tcW w:w="1316" w:type="pct"/>
            <w:tcBorders>
              <w:top w:val="outset" w:sz="6" w:space="0" w:color="auto"/>
              <w:left w:val="outset" w:sz="6" w:space="0" w:color="auto"/>
              <w:bottom w:val="outset" w:sz="6" w:space="0" w:color="auto"/>
              <w:right w:val="outset" w:sz="6" w:space="0" w:color="auto"/>
            </w:tcBorders>
            <w:vAlign w:val="center"/>
          </w:tcPr>
          <w:p w14:paraId="719F76E1" w14:textId="77777777" w:rsidR="006D079F" w:rsidRPr="00AF73AC" w:rsidRDefault="004108F6">
            <w:pPr>
              <w:spacing w:after="0"/>
              <w:rPr>
                <w:sz w:val="18"/>
                <w:szCs w:val="18"/>
              </w:rPr>
            </w:pPr>
            <w:r w:rsidRPr="00AF73AC">
              <w:rPr>
                <w:sz w:val="18"/>
                <w:szCs w:val="18"/>
              </w:rPr>
              <w:t>Faculty</w:t>
            </w:r>
          </w:p>
        </w:tc>
        <w:tc>
          <w:tcPr>
            <w:tcW w:w="2145" w:type="pct"/>
            <w:tcBorders>
              <w:top w:val="outset" w:sz="6" w:space="0" w:color="auto"/>
              <w:left w:val="outset" w:sz="6" w:space="0" w:color="auto"/>
              <w:bottom w:val="outset" w:sz="6" w:space="0" w:color="auto"/>
              <w:right w:val="outset" w:sz="6" w:space="0" w:color="auto"/>
            </w:tcBorders>
            <w:vAlign w:val="center"/>
          </w:tcPr>
          <w:p w14:paraId="0DA0781F" w14:textId="5AB73F87" w:rsidR="006D079F" w:rsidRPr="00AF73AC" w:rsidRDefault="004108F6">
            <w:pPr>
              <w:spacing w:after="0"/>
              <w:rPr>
                <w:sz w:val="18"/>
                <w:szCs w:val="18"/>
              </w:rPr>
            </w:pPr>
            <w:r w:rsidRPr="00AF73AC">
              <w:rPr>
                <w:sz w:val="18"/>
                <w:szCs w:val="18"/>
              </w:rPr>
              <w:t xml:space="preserve">Consulting Fee-Exact Sciences </w:t>
            </w:r>
          </w:p>
        </w:tc>
      </w:tr>
      <w:tr w:rsidR="006D079F" w:rsidRPr="00AF73AC" w14:paraId="7B9693B8" w14:textId="77777777" w:rsidTr="00AF73A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9F6737C" w14:textId="77777777" w:rsidR="006D079F" w:rsidRPr="00AF73AC" w:rsidRDefault="004108F6">
            <w:pPr>
              <w:spacing w:after="0"/>
              <w:rPr>
                <w:sz w:val="18"/>
                <w:szCs w:val="18"/>
              </w:rPr>
            </w:pPr>
            <w:r w:rsidRPr="00AF73AC">
              <w:rPr>
                <w:sz w:val="18"/>
                <w:szCs w:val="18"/>
              </w:rPr>
              <w:t>Reena Salgia, MD, FAASLD</w:t>
            </w:r>
          </w:p>
        </w:tc>
        <w:tc>
          <w:tcPr>
            <w:tcW w:w="1316" w:type="pct"/>
            <w:tcBorders>
              <w:top w:val="outset" w:sz="6" w:space="0" w:color="auto"/>
              <w:left w:val="outset" w:sz="6" w:space="0" w:color="auto"/>
              <w:bottom w:val="outset" w:sz="6" w:space="0" w:color="auto"/>
              <w:right w:val="outset" w:sz="6" w:space="0" w:color="auto"/>
            </w:tcBorders>
            <w:vAlign w:val="center"/>
          </w:tcPr>
          <w:p w14:paraId="3EB92A7F" w14:textId="77777777" w:rsidR="006D079F" w:rsidRPr="00AF73AC" w:rsidRDefault="004108F6">
            <w:pPr>
              <w:spacing w:after="0"/>
              <w:rPr>
                <w:sz w:val="18"/>
                <w:szCs w:val="18"/>
              </w:rPr>
            </w:pPr>
            <w:r w:rsidRPr="00AF73AC">
              <w:rPr>
                <w:sz w:val="18"/>
                <w:szCs w:val="18"/>
              </w:rPr>
              <w:t>Course Director, Faculty</w:t>
            </w:r>
          </w:p>
        </w:tc>
        <w:tc>
          <w:tcPr>
            <w:tcW w:w="2145" w:type="pct"/>
            <w:tcBorders>
              <w:top w:val="outset" w:sz="6" w:space="0" w:color="auto"/>
              <w:left w:val="outset" w:sz="6" w:space="0" w:color="auto"/>
              <w:bottom w:val="outset" w:sz="6" w:space="0" w:color="auto"/>
              <w:right w:val="outset" w:sz="6" w:space="0" w:color="auto"/>
            </w:tcBorders>
            <w:vAlign w:val="center"/>
          </w:tcPr>
          <w:p w14:paraId="60A02ACB" w14:textId="7569B705" w:rsidR="006D079F" w:rsidRPr="00AF73AC" w:rsidRDefault="004108F6">
            <w:pPr>
              <w:spacing w:after="0"/>
              <w:rPr>
                <w:sz w:val="14"/>
                <w:szCs w:val="14"/>
              </w:rPr>
            </w:pPr>
            <w:r w:rsidRPr="00AF73AC">
              <w:rPr>
                <w:sz w:val="14"/>
                <w:szCs w:val="14"/>
              </w:rPr>
              <w:t xml:space="preserve">Speakers Bureau-Gilead|Advisor-Astrazeneca|Honoraria-Cook Medical </w:t>
            </w:r>
          </w:p>
        </w:tc>
      </w:tr>
      <w:tr w:rsidR="006D079F" w:rsidRPr="00AF73AC" w14:paraId="164EA3F0" w14:textId="77777777" w:rsidTr="00AF73A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AAE0236" w14:textId="77777777" w:rsidR="006D079F" w:rsidRPr="00AF73AC" w:rsidRDefault="004108F6">
            <w:pPr>
              <w:spacing w:after="0"/>
              <w:rPr>
                <w:sz w:val="18"/>
                <w:szCs w:val="18"/>
              </w:rPr>
            </w:pPr>
            <w:r w:rsidRPr="00AF73AC">
              <w:rPr>
                <w:sz w:val="18"/>
                <w:szCs w:val="18"/>
              </w:rPr>
              <w:t>Amanda Su, MD</w:t>
            </w:r>
          </w:p>
        </w:tc>
        <w:tc>
          <w:tcPr>
            <w:tcW w:w="1316" w:type="pct"/>
            <w:tcBorders>
              <w:top w:val="outset" w:sz="6" w:space="0" w:color="auto"/>
              <w:left w:val="outset" w:sz="6" w:space="0" w:color="auto"/>
              <w:bottom w:val="outset" w:sz="6" w:space="0" w:color="auto"/>
              <w:right w:val="outset" w:sz="6" w:space="0" w:color="auto"/>
            </w:tcBorders>
            <w:vAlign w:val="center"/>
          </w:tcPr>
          <w:p w14:paraId="6097C1EF" w14:textId="77777777" w:rsidR="006D079F" w:rsidRPr="00AF73AC" w:rsidRDefault="004108F6">
            <w:pPr>
              <w:spacing w:after="0"/>
              <w:rPr>
                <w:sz w:val="18"/>
                <w:szCs w:val="18"/>
              </w:rPr>
            </w:pPr>
            <w:r w:rsidRPr="00AF73AC">
              <w:rPr>
                <w:sz w:val="18"/>
                <w:szCs w:val="18"/>
              </w:rPr>
              <w:t>Co-Director, Faculty</w:t>
            </w:r>
          </w:p>
        </w:tc>
        <w:tc>
          <w:tcPr>
            <w:tcW w:w="2145" w:type="pct"/>
            <w:tcBorders>
              <w:top w:val="outset" w:sz="6" w:space="0" w:color="auto"/>
              <w:left w:val="outset" w:sz="6" w:space="0" w:color="auto"/>
              <w:bottom w:val="outset" w:sz="6" w:space="0" w:color="auto"/>
              <w:right w:val="outset" w:sz="6" w:space="0" w:color="auto"/>
            </w:tcBorders>
            <w:vAlign w:val="center"/>
          </w:tcPr>
          <w:p w14:paraId="38F7D261" w14:textId="77777777" w:rsidR="006D079F" w:rsidRPr="00AF73AC" w:rsidRDefault="004108F6">
            <w:pPr>
              <w:spacing w:after="0"/>
              <w:rPr>
                <w:sz w:val="18"/>
                <w:szCs w:val="18"/>
              </w:rPr>
            </w:pPr>
            <w:r w:rsidRPr="00AF73AC">
              <w:rPr>
                <w:sz w:val="18"/>
                <w:szCs w:val="18"/>
              </w:rPr>
              <w:t>Nothing to disclose - 10/27/2025</w:t>
            </w:r>
          </w:p>
        </w:tc>
      </w:tr>
      <w:tr w:rsidR="006D079F" w:rsidRPr="00AF73AC" w14:paraId="620C0502" w14:textId="77777777" w:rsidTr="00AF73A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1F3F9B7" w14:textId="77777777" w:rsidR="006D079F" w:rsidRPr="00AF73AC" w:rsidRDefault="004108F6">
            <w:pPr>
              <w:spacing w:after="0"/>
              <w:rPr>
                <w:sz w:val="18"/>
                <w:szCs w:val="18"/>
              </w:rPr>
            </w:pPr>
            <w:r w:rsidRPr="00AF73AC">
              <w:rPr>
                <w:sz w:val="18"/>
                <w:szCs w:val="18"/>
              </w:rPr>
              <w:t>Lavanya Yohanathan, MD</w:t>
            </w:r>
          </w:p>
        </w:tc>
        <w:tc>
          <w:tcPr>
            <w:tcW w:w="1316" w:type="pct"/>
            <w:tcBorders>
              <w:top w:val="outset" w:sz="6" w:space="0" w:color="auto"/>
              <w:left w:val="outset" w:sz="6" w:space="0" w:color="auto"/>
              <w:bottom w:val="outset" w:sz="6" w:space="0" w:color="auto"/>
              <w:right w:val="outset" w:sz="6" w:space="0" w:color="auto"/>
            </w:tcBorders>
            <w:vAlign w:val="center"/>
          </w:tcPr>
          <w:p w14:paraId="67BFBEEA" w14:textId="77777777" w:rsidR="006D079F" w:rsidRPr="00AF73AC" w:rsidRDefault="004108F6">
            <w:pPr>
              <w:spacing w:after="0"/>
              <w:rPr>
                <w:sz w:val="18"/>
                <w:szCs w:val="18"/>
              </w:rPr>
            </w:pPr>
            <w:r w:rsidRPr="00AF73AC">
              <w:rPr>
                <w:sz w:val="18"/>
                <w:szCs w:val="18"/>
              </w:rPr>
              <w:t>Faculty</w:t>
            </w:r>
          </w:p>
        </w:tc>
        <w:tc>
          <w:tcPr>
            <w:tcW w:w="2145" w:type="pct"/>
            <w:tcBorders>
              <w:top w:val="outset" w:sz="6" w:space="0" w:color="auto"/>
              <w:left w:val="outset" w:sz="6" w:space="0" w:color="auto"/>
              <w:bottom w:val="outset" w:sz="6" w:space="0" w:color="auto"/>
              <w:right w:val="outset" w:sz="6" w:space="0" w:color="auto"/>
            </w:tcBorders>
            <w:vAlign w:val="center"/>
          </w:tcPr>
          <w:p w14:paraId="420C0441" w14:textId="77777777" w:rsidR="006D079F" w:rsidRPr="00AF73AC" w:rsidRDefault="004108F6">
            <w:pPr>
              <w:spacing w:after="0"/>
              <w:rPr>
                <w:sz w:val="18"/>
                <w:szCs w:val="18"/>
              </w:rPr>
            </w:pPr>
            <w:r w:rsidRPr="00AF73AC">
              <w:rPr>
                <w:sz w:val="18"/>
                <w:szCs w:val="18"/>
              </w:rPr>
              <w:t xml:space="preserve">Nothing to </w:t>
            </w:r>
            <w:r w:rsidRPr="00AF73AC">
              <w:rPr>
                <w:sz w:val="18"/>
                <w:szCs w:val="18"/>
              </w:rPr>
              <w:t>disclose - 01/21/2026</w:t>
            </w:r>
          </w:p>
        </w:tc>
      </w:tr>
    </w:tbl>
    <w:p w14:paraId="79A29C5A" w14:textId="77777777" w:rsidR="004108F6" w:rsidRPr="00AF73AC" w:rsidRDefault="004108F6" w:rsidP="00CE6541">
      <w:pPr>
        <w:spacing w:after="0" w:line="240" w:lineRule="auto"/>
        <w:rPr>
          <w:rFonts w:cs="Arial"/>
          <w:b/>
          <w:bCs/>
          <w:noProof/>
          <w:sz w:val="14"/>
          <w:szCs w:val="14"/>
        </w:rPr>
      </w:pPr>
      <w:bookmarkStart w:id="0" w:name="_Hlk216710071"/>
      <w:r w:rsidRPr="00AF73AC">
        <w:rPr>
          <w:rFonts w:cs="Arial"/>
          <w:b/>
          <w:bCs/>
          <w:noProof/>
          <w:sz w:val="14"/>
          <w:szCs w:val="14"/>
        </w:rPr>
        <w:t xml:space="preserve">MITIGATION OF RELEVANT FINANCIAL RELATIONSHIPS: </w:t>
      </w:r>
      <w:r w:rsidRPr="00AF73AC">
        <w:rPr>
          <w:rFonts w:cs="Arial"/>
          <w:noProof/>
          <w:sz w:val="14"/>
          <w:szCs w:val="14"/>
        </w:rPr>
        <w:t>Henry Ford Health adheres to the ACCME’s Standards for Integrity and Independence in Accredited Continuing Education. Henry Ford Health has implemented mechanisms to identify and mitigate financial relationships with ineligible companies for all individuals in a position to control content of this activity. All relevant financial relationships have been mitigated prior to the commencement of this activity.</w:t>
      </w:r>
    </w:p>
    <w:bookmarkEnd w:id="0"/>
    <w:p w14:paraId="6E55236D" w14:textId="77777777" w:rsidR="004108F6" w:rsidRPr="00AF73AC" w:rsidRDefault="004108F6" w:rsidP="00CE6541">
      <w:pPr>
        <w:spacing w:after="0" w:line="240" w:lineRule="auto"/>
        <w:rPr>
          <w:rFonts w:cs="Arial"/>
          <w:b/>
          <w:bCs/>
          <w:sz w:val="14"/>
          <w:szCs w:val="14"/>
        </w:rPr>
      </w:pPr>
    </w:p>
    <w:p w14:paraId="533D11BF" w14:textId="77777777" w:rsidR="004108F6" w:rsidRPr="00AF73AC" w:rsidRDefault="004108F6" w:rsidP="00CE6541">
      <w:pPr>
        <w:spacing w:line="240" w:lineRule="auto"/>
        <w:rPr>
          <w:rFonts w:cs="Arial"/>
          <w:b/>
          <w:bCs/>
          <w:sz w:val="14"/>
          <w:szCs w:val="14"/>
        </w:rPr>
      </w:pPr>
      <w:r w:rsidRPr="00AF73AC">
        <w:rPr>
          <w:rFonts w:cs="Arial"/>
          <w:b/>
          <w:bCs/>
          <w:sz w:val="14"/>
          <w:szCs w:val="14"/>
        </w:rPr>
        <w:t xml:space="preserve">ACCREDITATION STATEMENT: </w:t>
      </w:r>
      <w:r w:rsidRPr="00AF73AC">
        <w:rPr>
          <w:rFonts w:cs="Arial"/>
          <w:sz w:val="14"/>
          <w:szCs w:val="14"/>
        </w:rPr>
        <w:t>Henry Ford Health is accredited by the Accreditation Council for Continuing Medical Education to provide continuing medical education for physicians. </w:t>
      </w:r>
    </w:p>
    <w:p w14:paraId="68DE9DAF" w14:textId="77777777" w:rsidR="004108F6" w:rsidRPr="00AF73AC" w:rsidRDefault="004108F6" w:rsidP="004200C3">
      <w:pPr>
        <w:spacing w:line="240" w:lineRule="auto"/>
        <w:rPr>
          <w:rFonts w:cs="Arial"/>
          <w:b/>
          <w:bCs/>
          <w:sz w:val="14"/>
          <w:szCs w:val="14"/>
        </w:rPr>
      </w:pPr>
      <w:r w:rsidRPr="00AF73AC">
        <w:rPr>
          <w:rFonts w:cs="Arial"/>
          <w:b/>
          <w:bCs/>
          <w:sz w:val="14"/>
          <w:szCs w:val="14"/>
        </w:rPr>
        <w:t>DESIGNATION STATEMENT</w:t>
      </w:r>
      <w:r w:rsidRPr="00AF73AC">
        <w:rPr>
          <w:rFonts w:cs="Arial"/>
          <w:b/>
          <w:bCs/>
          <w:sz w:val="14"/>
          <w:szCs w:val="14"/>
        </w:rPr>
        <w:t>:</w:t>
      </w:r>
      <w:r w:rsidRPr="00AF73AC">
        <w:rPr>
          <w:b/>
          <w:bCs/>
          <w:sz w:val="14"/>
          <w:szCs w:val="14"/>
        </w:rPr>
        <w:t xml:space="preserve"> </w:t>
      </w:r>
      <w:r w:rsidRPr="00AF73AC">
        <w:rPr>
          <w:rFonts w:cs="Arial"/>
          <w:sz w:val="14"/>
          <w:szCs w:val="14"/>
        </w:rPr>
        <w:t xml:space="preserve">Henry Ford Health designates this </w:t>
      </w:r>
      <w:r w:rsidRPr="00AF73AC">
        <w:rPr>
          <w:rFonts w:cs="Arial"/>
          <w:noProof/>
          <w:sz w:val="14"/>
          <w:szCs w:val="14"/>
        </w:rPr>
        <w:t>Live Activity</w:t>
      </w:r>
      <w:r w:rsidRPr="00AF73AC">
        <w:rPr>
          <w:rFonts w:cs="Arial"/>
          <w:noProof/>
          <w:sz w:val="14"/>
          <w:szCs w:val="14"/>
        </w:rPr>
        <w:t xml:space="preserve"> </w:t>
      </w:r>
      <w:r w:rsidRPr="00AF73AC">
        <w:rPr>
          <w:rFonts w:cs="Arial"/>
          <w:sz w:val="14"/>
          <w:szCs w:val="14"/>
        </w:rPr>
        <w:t>course for a maximum of </w:t>
      </w:r>
      <w:r w:rsidRPr="00AF73AC">
        <w:rPr>
          <w:rFonts w:cs="Arial"/>
          <w:noProof/>
          <w:sz w:val="14"/>
          <w:szCs w:val="14"/>
        </w:rPr>
        <w:t>2.50</w:t>
      </w:r>
      <w:r w:rsidRPr="00AF73AC">
        <w:rPr>
          <w:rFonts w:cs="Arial"/>
          <w:sz w:val="14"/>
          <w:szCs w:val="14"/>
        </w:rPr>
        <w:t> </w:t>
      </w:r>
      <w:r w:rsidRPr="00AF73AC">
        <w:rPr>
          <w:rFonts w:cs="Arial"/>
          <w:i/>
          <w:iCs/>
          <w:sz w:val="14"/>
          <w:szCs w:val="14"/>
        </w:rPr>
        <w:t xml:space="preserve">AMA </w:t>
      </w:r>
      <w:r w:rsidRPr="00AF73AC">
        <w:rPr>
          <w:rFonts w:cs="Arial"/>
          <w:i/>
          <w:iCs/>
          <w:sz w:val="14"/>
          <w:szCs w:val="14"/>
        </w:rPr>
        <w:t>PRA Category 1 Credit(s) TM</w:t>
      </w:r>
      <w:r w:rsidRPr="00AF73AC">
        <w:rPr>
          <w:rFonts w:cs="Arial"/>
          <w:sz w:val="14"/>
          <w:szCs w:val="14"/>
        </w:rPr>
        <w:t>. Physicians should only claim the credit commensurate with the extent of their participation in the activity.</w:t>
      </w:r>
      <w:r w:rsidRPr="00AF73AC">
        <w:rPr>
          <w:rFonts w:cs="Arial"/>
          <w:sz w:val="14"/>
          <w:szCs w:val="14"/>
        </w:rPr>
        <w:fldChar w:fldCharType="begin"/>
      </w:r>
      <w:r w:rsidRPr="00AF73AC">
        <w:rPr>
          <w:rFonts w:cs="Arial"/>
          <w:sz w:val="14"/>
          <w:szCs w:val="14"/>
        </w:rPr>
        <w:instrText xml:space="preserve"> IF 2.50 &gt; 0 "</w:instrText>
      </w:r>
    </w:p>
    <w:p w14:paraId="3F541F7C" w14:textId="77777777" w:rsidR="004108F6" w:rsidRPr="00AF73AC" w:rsidRDefault="004108F6" w:rsidP="004200C3">
      <w:pPr>
        <w:spacing w:line="240" w:lineRule="auto"/>
        <w:rPr>
          <w:rFonts w:cs="Arial"/>
          <w:sz w:val="14"/>
          <w:szCs w:val="14"/>
        </w:rPr>
      </w:pPr>
      <w:r w:rsidRPr="00AF73AC">
        <w:rPr>
          <w:rFonts w:cs="Arial"/>
          <w:sz w:val="14"/>
          <w:szCs w:val="14"/>
        </w:rPr>
        <w:instrText xml:space="preserve">ABIM MOC Part 2: Successful completion of this CME activity, which includes participation in the evaluation component, enables the participant to earn up to 2.50 MOC points in the American Board of Internal Medicine’s (ABIM) Maintenance of Certification (MOC) program. It is the CME activity provider’s responsibility to submit participant completion information to ACCME for the purpose of granting ABIM MOC credit." "" </w:instrText>
      </w:r>
      <w:r w:rsidRPr="00AF73AC">
        <w:rPr>
          <w:rFonts w:cs="Arial"/>
          <w:sz w:val="14"/>
          <w:szCs w:val="14"/>
        </w:rPr>
        <w:fldChar w:fldCharType="separate"/>
      </w:r>
    </w:p>
    <w:p w14:paraId="1948BAE1" w14:textId="77777777" w:rsidR="006D079F" w:rsidRPr="00AF73AC" w:rsidRDefault="004108F6" w:rsidP="004200C3">
      <w:pPr>
        <w:spacing w:line="240" w:lineRule="auto"/>
        <w:rPr>
          <w:rFonts w:cs="Arial"/>
          <w:sz w:val="14"/>
          <w:szCs w:val="14"/>
        </w:rPr>
      </w:pPr>
      <w:r w:rsidRPr="00AF73AC">
        <w:rPr>
          <w:rFonts w:cs="Arial"/>
          <w:sz w:val="14"/>
          <w:szCs w:val="14"/>
        </w:rPr>
        <w:t>ABIM MOC Part 2: Successful completion of this CME activity, which includes participation in the evaluation component, enables the participant to earn up to 2.50 MOC points in the American Board of Internal Medicine’s (ABIM) Maintenance of Certification (MOC) program. It is the CME activity provider’s responsibility to submit participant completion information to ACCME for the purpose of granting ABIM MOC credit.</w:t>
      </w:r>
      <w:r w:rsidRPr="00AF73AC">
        <w:rPr>
          <w:rFonts w:cs="Arial"/>
          <w:sz w:val="14"/>
          <w:szCs w:val="14"/>
        </w:rPr>
        <w:fldChar w:fldCharType="end"/>
      </w:r>
      <w:r w:rsidRPr="00AF73AC">
        <w:rPr>
          <w:rFonts w:cs="Arial"/>
          <w:sz w:val="14"/>
          <w:szCs w:val="14"/>
        </w:rPr>
        <w:fldChar w:fldCharType="begin"/>
      </w:r>
      <w:r w:rsidRPr="00AF73AC">
        <w:rPr>
          <w:rFonts w:cs="Arial"/>
          <w:sz w:val="14"/>
          <w:szCs w:val="14"/>
        </w:rPr>
        <w:instrText xml:space="preserve"> IF 2.50 &gt; 0 "</w:instrText>
      </w:r>
    </w:p>
    <w:p w14:paraId="1636139F" w14:textId="77777777" w:rsidR="004108F6" w:rsidRPr="00AF73AC" w:rsidRDefault="004108F6" w:rsidP="004200C3">
      <w:pPr>
        <w:spacing w:line="240" w:lineRule="auto"/>
        <w:rPr>
          <w:rFonts w:cs="Arial"/>
          <w:sz w:val="14"/>
          <w:szCs w:val="14"/>
        </w:rPr>
      </w:pPr>
      <w:r w:rsidRPr="00AF73AC">
        <w:rPr>
          <w:rFonts w:cs="Arial"/>
          <w:sz w:val="14"/>
          <w:szCs w:val="14"/>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AF73AC">
        <w:rPr>
          <w:rFonts w:cs="Arial"/>
          <w:sz w:val="14"/>
          <w:szCs w:val="14"/>
        </w:rPr>
        <w:fldChar w:fldCharType="separate"/>
      </w:r>
    </w:p>
    <w:p w14:paraId="6D70A55D" w14:textId="739F3745" w:rsidR="004108F6" w:rsidRPr="00AF73AC" w:rsidRDefault="004108F6" w:rsidP="00802EA0">
      <w:pPr>
        <w:spacing w:line="240" w:lineRule="auto"/>
        <w:rPr>
          <w:rFonts w:cs="Arial"/>
          <w:sz w:val="14"/>
          <w:szCs w:val="14"/>
        </w:rPr>
      </w:pPr>
      <w:r w:rsidRPr="00AF73AC">
        <w:rPr>
          <w:rFonts w:cs="Arial"/>
          <w:sz w:val="14"/>
          <w:szCs w:val="14"/>
        </w:rPr>
        <w:t xml:space="preserve">ABS CC: </w:t>
      </w:r>
      <w:proofErr w:type="gramStart"/>
      <w:r w:rsidRPr="00AF73AC">
        <w:rPr>
          <w:rFonts w:cs="Arial"/>
          <w:sz w:val="14"/>
          <w:szCs w:val="14"/>
        </w:rPr>
        <w:t>Successful completion of this CME activity,</w:t>
      </w:r>
      <w:proofErr w:type="gramEnd"/>
      <w:r w:rsidRPr="00AF73AC">
        <w:rPr>
          <w:rFonts w:cs="Arial"/>
          <w:sz w:val="14"/>
          <w:szCs w:val="14"/>
        </w:rPr>
        <w:t xml:space="preserve"> enables the learner to earn credit toward the CME requirement(s) of the American Board of Surgery’s Continuous Certification program. It is the CME activity provider's responsibility to submit learner completion information to ACCME for the purpose of granting ABS credit.</w:t>
      </w:r>
      <w:r w:rsidRPr="00AF73AC">
        <w:rPr>
          <w:rFonts w:cs="Arial"/>
          <w:sz w:val="14"/>
          <w:szCs w:val="14"/>
        </w:rPr>
        <w:fldChar w:fldCharType="end"/>
      </w:r>
    </w:p>
    <w:sectPr w:rsidR="00CE6541" w:rsidRPr="00AF73AC"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79F"/>
    <w:rsid w:val="00163151"/>
    <w:rsid w:val="004108F6"/>
    <w:rsid w:val="005A1F77"/>
    <w:rsid w:val="006D079F"/>
    <w:rsid w:val="00A60FE2"/>
    <w:rsid w:val="00AF73A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D3420"/>
  <w15:docId w15:val="{51ED3FE7-AE13-4D50-872B-341736D5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617</Words>
  <Characters>4699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Miller, Christina</cp:lastModifiedBy>
  <cp:revision>4</cp:revision>
  <dcterms:created xsi:type="dcterms:W3CDTF">2026-01-20T21:36:00Z</dcterms:created>
  <dcterms:modified xsi:type="dcterms:W3CDTF">2026-01-22T22:12:00Z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